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FA4EC" w14:textId="7ACDC9B3" w:rsidR="007921C6" w:rsidRPr="00607148" w:rsidRDefault="00A13D08" w:rsidP="007921C6">
      <w:pPr>
        <w:spacing w:after="120" w:line="240" w:lineRule="auto"/>
        <w:contextualSpacing/>
        <w:jc w:val="both"/>
        <w:rPr>
          <w:rFonts w:eastAsia="Times New Roman" w:cs="Calibri"/>
          <w:b/>
          <w:bCs/>
          <w:sz w:val="28"/>
          <w:lang w:eastAsia="cs-CZ"/>
        </w:rPr>
      </w:pPr>
      <w:r w:rsidRPr="00607148">
        <w:rPr>
          <w:rFonts w:eastAsia="Times New Roman" w:cs="Calibri"/>
          <w:b/>
          <w:bCs/>
          <w:sz w:val="28"/>
          <w:lang w:eastAsia="cs-CZ"/>
        </w:rPr>
        <w:t xml:space="preserve">Platforma Rozumné právo: </w:t>
      </w:r>
      <w:r w:rsidR="00607148" w:rsidRPr="00140E2E">
        <w:rPr>
          <w:rFonts w:eastAsia="Times New Roman" w:cs="Calibri"/>
          <w:b/>
          <w:bCs/>
          <w:sz w:val="28"/>
          <w:lang w:eastAsia="cs-CZ"/>
        </w:rPr>
        <w:t xml:space="preserve">Na očkované není nutné aplikovat </w:t>
      </w:r>
      <w:r w:rsidR="00197ADF">
        <w:rPr>
          <w:rFonts w:eastAsia="Times New Roman" w:cs="Calibri"/>
          <w:b/>
          <w:bCs/>
          <w:sz w:val="28"/>
          <w:lang w:eastAsia="cs-CZ"/>
        </w:rPr>
        <w:t xml:space="preserve">všechna </w:t>
      </w:r>
      <w:r w:rsidR="00607148" w:rsidRPr="00140E2E">
        <w:rPr>
          <w:rFonts w:eastAsia="Times New Roman" w:cs="Calibri"/>
          <w:b/>
          <w:bCs/>
          <w:sz w:val="28"/>
          <w:lang w:eastAsia="cs-CZ"/>
        </w:rPr>
        <w:t xml:space="preserve">protiepidemická omezení </w:t>
      </w:r>
    </w:p>
    <w:p w14:paraId="31C9019E" w14:textId="77777777" w:rsidR="004415CB" w:rsidRPr="00607148" w:rsidRDefault="004415CB" w:rsidP="007921C6">
      <w:pPr>
        <w:spacing w:after="120" w:line="240" w:lineRule="auto"/>
        <w:contextualSpacing/>
        <w:jc w:val="both"/>
        <w:rPr>
          <w:rFonts w:eastAsia="Times New Roman" w:cs="Calibri"/>
          <w:b/>
          <w:bCs/>
          <w:sz w:val="28"/>
          <w:lang w:eastAsia="cs-CZ"/>
        </w:rPr>
      </w:pPr>
    </w:p>
    <w:p w14:paraId="63AAFADF" w14:textId="515C8E4B" w:rsidR="000275B3" w:rsidRPr="008F2B15" w:rsidRDefault="000275B3" w:rsidP="000275B3">
      <w:pPr>
        <w:spacing w:after="120" w:line="240" w:lineRule="auto"/>
        <w:contextualSpacing/>
        <w:jc w:val="both"/>
        <w:rPr>
          <w:rFonts w:cs="Calibri"/>
          <w:b/>
        </w:rPr>
      </w:pPr>
      <w:r w:rsidRPr="00607148">
        <w:rPr>
          <w:rFonts w:cs="Calibri"/>
          <w:b/>
        </w:rPr>
        <w:t>V Praze 1</w:t>
      </w:r>
      <w:r w:rsidR="00607148">
        <w:rPr>
          <w:rFonts w:cs="Calibri"/>
          <w:b/>
        </w:rPr>
        <w:t>0</w:t>
      </w:r>
      <w:r w:rsidRPr="00607148">
        <w:rPr>
          <w:rFonts w:cs="Calibri"/>
          <w:b/>
        </w:rPr>
        <w:t xml:space="preserve">. </w:t>
      </w:r>
      <w:r w:rsidR="00607148">
        <w:rPr>
          <w:rFonts w:cs="Calibri"/>
          <w:b/>
        </w:rPr>
        <w:t>února</w:t>
      </w:r>
      <w:r w:rsidRPr="00607148">
        <w:rPr>
          <w:rFonts w:cs="Calibri"/>
          <w:b/>
        </w:rPr>
        <w:t xml:space="preserve"> 202</w:t>
      </w:r>
      <w:r w:rsidR="00607148">
        <w:rPr>
          <w:rFonts w:cs="Calibri"/>
          <w:b/>
        </w:rPr>
        <w:t>1</w:t>
      </w:r>
      <w:r w:rsidRPr="00607148">
        <w:rPr>
          <w:rFonts w:cs="Calibri"/>
          <w:b/>
        </w:rPr>
        <w:t xml:space="preserve"> – </w:t>
      </w:r>
      <w:r w:rsidR="00607148">
        <w:rPr>
          <w:rFonts w:cs="Calibri"/>
          <w:b/>
        </w:rPr>
        <w:t xml:space="preserve">Co </w:t>
      </w:r>
      <w:r w:rsidR="00197ADF">
        <w:rPr>
          <w:rFonts w:cs="Calibri"/>
          <w:b/>
        </w:rPr>
        <w:t>nejširší</w:t>
      </w:r>
      <w:r w:rsidR="00607148">
        <w:rPr>
          <w:rFonts w:cs="Calibri"/>
          <w:b/>
        </w:rPr>
        <w:t xml:space="preserve"> dostupnost a co nejrychlejší očkování co největšího počtu obyvatel je prioritou boje s pandemií Covid-19. Spolu s rychlým očkováním je </w:t>
      </w:r>
      <w:r w:rsidR="00E94EFC">
        <w:rPr>
          <w:rFonts w:cs="Calibri"/>
          <w:b/>
        </w:rPr>
        <w:t xml:space="preserve">třeba usilovat </w:t>
      </w:r>
      <w:r w:rsidR="00607148">
        <w:rPr>
          <w:rFonts w:cs="Calibri"/>
          <w:b/>
        </w:rPr>
        <w:t>o co nejrychlejší návrat k</w:t>
      </w:r>
      <w:r w:rsidR="00BA7662">
        <w:rPr>
          <w:rFonts w:cs="Calibri"/>
          <w:b/>
        </w:rPr>
        <w:t> </w:t>
      </w:r>
      <w:r w:rsidR="00607148">
        <w:rPr>
          <w:rFonts w:cs="Calibri"/>
          <w:b/>
        </w:rPr>
        <w:t>běžnému</w:t>
      </w:r>
      <w:r w:rsidR="00BA7662">
        <w:rPr>
          <w:rFonts w:cs="Calibri"/>
          <w:b/>
        </w:rPr>
        <w:t xml:space="preserve"> společenskému</w:t>
      </w:r>
      <w:r w:rsidR="00607148">
        <w:rPr>
          <w:rFonts w:cs="Calibri"/>
          <w:b/>
        </w:rPr>
        <w:t xml:space="preserve"> životu</w:t>
      </w:r>
      <w:r w:rsidR="00BA7662">
        <w:rPr>
          <w:rFonts w:cs="Calibri"/>
          <w:b/>
        </w:rPr>
        <w:t xml:space="preserve">, </w:t>
      </w:r>
      <w:r w:rsidR="00607148">
        <w:rPr>
          <w:rFonts w:cs="Calibri"/>
          <w:b/>
        </w:rPr>
        <w:t>otevření ekonomiky</w:t>
      </w:r>
      <w:r w:rsidR="00BA7662">
        <w:rPr>
          <w:rFonts w:cs="Calibri"/>
          <w:b/>
        </w:rPr>
        <w:t xml:space="preserve"> a obnovení živé kultury</w:t>
      </w:r>
      <w:r w:rsidR="00607148">
        <w:rPr>
          <w:rFonts w:cs="Calibri"/>
          <w:b/>
        </w:rPr>
        <w:t xml:space="preserve">. </w:t>
      </w:r>
      <w:r w:rsidR="00197ADF">
        <w:rPr>
          <w:rFonts w:cs="Calibri"/>
          <w:b/>
        </w:rPr>
        <w:t>K tomu lze přispět i</w:t>
      </w:r>
      <w:r w:rsidR="00607148">
        <w:rPr>
          <w:rFonts w:cs="Calibri"/>
          <w:b/>
        </w:rPr>
        <w:t xml:space="preserve"> tím, že se na</w:t>
      </w:r>
      <w:r w:rsidR="004415CB">
        <w:rPr>
          <w:rFonts w:cs="Calibri"/>
          <w:b/>
        </w:rPr>
        <w:t> </w:t>
      </w:r>
      <w:r w:rsidR="00607148">
        <w:rPr>
          <w:rFonts w:cs="Calibri"/>
          <w:b/>
        </w:rPr>
        <w:t>očkované nebudou vztahovat protiepidemická omezení</w:t>
      </w:r>
      <w:r w:rsidR="00BA7662">
        <w:rPr>
          <w:rFonts w:cs="Calibri"/>
          <w:b/>
        </w:rPr>
        <w:t>, že jim nebude bráněno ve vstupu</w:t>
      </w:r>
      <w:r w:rsidR="002D55EE">
        <w:rPr>
          <w:rFonts w:cs="Calibri"/>
          <w:b/>
        </w:rPr>
        <w:t xml:space="preserve"> alespoň</w:t>
      </w:r>
      <w:r w:rsidR="00BA7662">
        <w:rPr>
          <w:rFonts w:cs="Calibri"/>
          <w:b/>
        </w:rPr>
        <w:t xml:space="preserve"> do</w:t>
      </w:r>
      <w:r w:rsidR="004415CB">
        <w:rPr>
          <w:rFonts w:cs="Calibri"/>
          <w:b/>
        </w:rPr>
        <w:t> </w:t>
      </w:r>
      <w:r w:rsidR="00BA7662">
        <w:rPr>
          <w:rFonts w:cs="Calibri"/>
          <w:b/>
        </w:rPr>
        <w:t>restaurací a kulturních zařízení, víkendovému ubytování či cestování</w:t>
      </w:r>
      <w:r w:rsidR="00607148">
        <w:rPr>
          <w:rFonts w:cs="Calibri"/>
          <w:b/>
        </w:rPr>
        <w:t xml:space="preserve">. Členové platformy Rozumné právo </w:t>
      </w:r>
      <w:r w:rsidR="00E94EFC">
        <w:rPr>
          <w:rFonts w:cs="Calibri"/>
          <w:b/>
        </w:rPr>
        <w:t>v tomto stanovisku uvádějí</w:t>
      </w:r>
      <w:r w:rsidR="00607148">
        <w:rPr>
          <w:rFonts w:cs="Calibri"/>
          <w:b/>
        </w:rPr>
        <w:t xml:space="preserve">, </w:t>
      </w:r>
      <w:r w:rsidR="00E94EFC">
        <w:rPr>
          <w:rFonts w:cs="Calibri"/>
          <w:b/>
        </w:rPr>
        <w:t>že</w:t>
      </w:r>
      <w:r w:rsidR="00607148">
        <w:rPr>
          <w:rFonts w:cs="Calibri"/>
          <w:b/>
        </w:rPr>
        <w:t xml:space="preserve"> </w:t>
      </w:r>
      <w:r w:rsidR="00E94EFC">
        <w:rPr>
          <w:rFonts w:cs="Calibri"/>
          <w:b/>
        </w:rPr>
        <w:t>t</w:t>
      </w:r>
      <w:r w:rsidR="00607148">
        <w:rPr>
          <w:rFonts w:cs="Calibri"/>
          <w:b/>
        </w:rPr>
        <w:t xml:space="preserve">akový krok je </w:t>
      </w:r>
      <w:r w:rsidR="00E94EFC">
        <w:rPr>
          <w:rFonts w:cs="Calibri"/>
          <w:b/>
        </w:rPr>
        <w:t xml:space="preserve">za </w:t>
      </w:r>
      <w:r w:rsidR="00992FC3">
        <w:rPr>
          <w:rFonts w:cs="Calibri"/>
          <w:b/>
        </w:rPr>
        <w:t xml:space="preserve">níže </w:t>
      </w:r>
      <w:r w:rsidR="00E94EFC">
        <w:rPr>
          <w:rFonts w:cs="Calibri"/>
          <w:b/>
        </w:rPr>
        <w:t xml:space="preserve">stanovených podmínek </w:t>
      </w:r>
      <w:r w:rsidR="00607148">
        <w:rPr>
          <w:rFonts w:cs="Calibri"/>
          <w:b/>
        </w:rPr>
        <w:t>v souladu s</w:t>
      </w:r>
      <w:r w:rsidR="00E94EFC">
        <w:rPr>
          <w:rFonts w:cs="Calibri"/>
          <w:b/>
        </w:rPr>
        <w:t> </w:t>
      </w:r>
      <w:r w:rsidR="00607148">
        <w:rPr>
          <w:rFonts w:cs="Calibri"/>
          <w:b/>
        </w:rPr>
        <w:t>Ústavou</w:t>
      </w:r>
      <w:r w:rsidR="00E94EFC" w:rsidRPr="008F2B15">
        <w:rPr>
          <w:rFonts w:cs="Calibri"/>
          <w:b/>
        </w:rPr>
        <w:t>, a to i v situaci, kdy očkování nen</w:t>
      </w:r>
      <w:r w:rsidR="00E94EFC" w:rsidRPr="00992FC3">
        <w:rPr>
          <w:rFonts w:cs="Calibri"/>
          <w:b/>
        </w:rPr>
        <w:t>í dostupné všem.</w:t>
      </w:r>
      <w:r w:rsidR="00E94EFC" w:rsidRPr="008F2B15">
        <w:rPr>
          <w:rFonts w:cs="Calibri"/>
          <w:b/>
        </w:rPr>
        <w:t xml:space="preserve"> Zákaz rozlišování by vedl k prohloubení ekonomických problémů a rovnosti „v bídě“</w:t>
      </w:r>
      <w:r w:rsidR="00197ADF" w:rsidRPr="008F2B15">
        <w:rPr>
          <w:rFonts w:cs="Calibri"/>
          <w:b/>
        </w:rPr>
        <w:t xml:space="preserve"> a sám o</w:t>
      </w:r>
      <w:r w:rsidR="004415CB">
        <w:rPr>
          <w:rFonts w:cs="Calibri"/>
          <w:b/>
        </w:rPr>
        <w:t> </w:t>
      </w:r>
      <w:r w:rsidR="00197ADF" w:rsidRPr="008F2B15">
        <w:rPr>
          <w:rFonts w:cs="Calibri"/>
          <w:b/>
        </w:rPr>
        <w:t xml:space="preserve">sobě by </w:t>
      </w:r>
      <w:r w:rsidR="00992FC3">
        <w:rPr>
          <w:rFonts w:cs="Calibri"/>
          <w:b/>
        </w:rPr>
        <w:t>mohl být</w:t>
      </w:r>
      <w:r w:rsidR="00197ADF" w:rsidRPr="008F2B15">
        <w:rPr>
          <w:rFonts w:cs="Calibri"/>
          <w:b/>
        </w:rPr>
        <w:t xml:space="preserve"> pravděpodobně neústavním</w:t>
      </w:r>
      <w:r w:rsidR="00E94EFC" w:rsidRPr="008F2B15">
        <w:rPr>
          <w:rFonts w:cs="Calibri"/>
          <w:b/>
        </w:rPr>
        <w:t>.</w:t>
      </w:r>
      <w:r w:rsidR="00607148" w:rsidRPr="008F2B15">
        <w:rPr>
          <w:rFonts w:cs="Calibri"/>
          <w:b/>
        </w:rPr>
        <w:t xml:space="preserve"> </w:t>
      </w:r>
    </w:p>
    <w:p w14:paraId="31672204" w14:textId="77777777" w:rsidR="000275B3" w:rsidRPr="008F2B15" w:rsidRDefault="000275B3" w:rsidP="000275B3">
      <w:pPr>
        <w:spacing w:after="120" w:line="240" w:lineRule="auto"/>
        <w:jc w:val="both"/>
        <w:rPr>
          <w:rFonts w:eastAsia="Times New Roman" w:cs="Calibri"/>
          <w:b/>
          <w:bCs/>
          <w:lang w:eastAsia="cs-CZ"/>
        </w:rPr>
      </w:pPr>
    </w:p>
    <w:p w14:paraId="5C90C799" w14:textId="77777777" w:rsidR="000275B3" w:rsidRPr="008F2B15" w:rsidRDefault="000275B3" w:rsidP="004415CB">
      <w:pPr>
        <w:spacing w:after="120" w:line="240" w:lineRule="auto"/>
        <w:jc w:val="both"/>
        <w:rPr>
          <w:rFonts w:eastAsia="Times New Roman" w:cs="Calibri"/>
          <w:b/>
          <w:bCs/>
          <w:lang w:eastAsia="cs-CZ"/>
        </w:rPr>
      </w:pPr>
      <w:r w:rsidRPr="008F2B15">
        <w:rPr>
          <w:rFonts w:eastAsia="Times New Roman" w:cs="Calibri"/>
          <w:b/>
          <w:bCs/>
          <w:lang w:eastAsia="cs-CZ"/>
        </w:rPr>
        <w:t>Doporučení:</w:t>
      </w:r>
    </w:p>
    <w:p w14:paraId="0D3C5FC2" w14:textId="307B50E8" w:rsidR="00E94EFC" w:rsidRPr="008F2B15" w:rsidRDefault="00E94EFC" w:rsidP="004415CB">
      <w:pPr>
        <w:numPr>
          <w:ilvl w:val="0"/>
          <w:numId w:val="7"/>
        </w:numPr>
        <w:spacing w:after="120" w:line="240" w:lineRule="auto"/>
        <w:jc w:val="both"/>
        <w:rPr>
          <w:rFonts w:cs="Calibri"/>
          <w:b/>
          <w:bCs/>
        </w:rPr>
      </w:pPr>
      <w:r w:rsidRPr="00140E2E">
        <w:rPr>
          <w:rFonts w:cs="Calibri"/>
          <w:b/>
          <w:bCs/>
        </w:rPr>
        <w:t xml:space="preserve">stát by měl upustit od uplatňování protiepidemických opatření v případě očkovaných osob, a to </w:t>
      </w:r>
      <w:r w:rsidR="008F2B15">
        <w:rPr>
          <w:rFonts w:cs="Calibri"/>
          <w:b/>
          <w:bCs/>
        </w:rPr>
        <w:t xml:space="preserve">minimálně </w:t>
      </w:r>
      <w:r w:rsidRPr="00140E2E">
        <w:rPr>
          <w:rFonts w:cs="Calibri"/>
          <w:b/>
          <w:bCs/>
        </w:rPr>
        <w:t>tehdy, kdy bude s vysokou pravděpodobností zřejmé, že očkovaný nemůže nemoc dále šířit;</w:t>
      </w:r>
    </w:p>
    <w:p w14:paraId="714B66D4" w14:textId="05551401" w:rsidR="00E94EFC" w:rsidRPr="00197ADF" w:rsidRDefault="00BA7662" w:rsidP="004415CB">
      <w:pPr>
        <w:numPr>
          <w:ilvl w:val="0"/>
          <w:numId w:val="7"/>
        </w:numPr>
        <w:spacing w:after="120" w:line="240" w:lineRule="auto"/>
        <w:jc w:val="both"/>
        <w:rPr>
          <w:rFonts w:cs="Calibri"/>
          <w:b/>
          <w:bCs/>
        </w:rPr>
      </w:pPr>
      <w:r w:rsidRPr="008F2B15">
        <w:rPr>
          <w:rFonts w:cs="Calibri"/>
          <w:b/>
          <w:bCs/>
        </w:rPr>
        <w:t>podmínku očkování je možné v praxi nahradit jiným spolehlivým důkazem nenakažlivosti – negativním</w:t>
      </w:r>
      <w:r w:rsidRPr="00197ADF">
        <w:rPr>
          <w:rFonts w:cs="Calibri"/>
          <w:b/>
          <w:bCs/>
        </w:rPr>
        <w:t xml:space="preserve"> výsledkem testu nebo potvrzením o prodělané nemoci;  </w:t>
      </w:r>
    </w:p>
    <w:p w14:paraId="2BED0DA8" w14:textId="296CD6A5" w:rsidR="00197ADF" w:rsidRPr="002D55EE" w:rsidRDefault="00197ADF" w:rsidP="004415CB">
      <w:pPr>
        <w:numPr>
          <w:ilvl w:val="0"/>
          <w:numId w:val="7"/>
        </w:numPr>
        <w:spacing w:after="120" w:line="240" w:lineRule="auto"/>
        <w:jc w:val="both"/>
        <w:rPr>
          <w:rFonts w:cs="Calibri"/>
          <w:b/>
          <w:bCs/>
        </w:rPr>
      </w:pPr>
      <w:r w:rsidRPr="00140E2E">
        <w:rPr>
          <w:rFonts w:cs="Calibri"/>
          <w:b/>
          <w:bCs/>
        </w:rPr>
        <w:t xml:space="preserve">jakmile </w:t>
      </w:r>
      <w:r w:rsidRPr="00140E2E">
        <w:rPr>
          <w:b/>
          <w:bCs/>
        </w:rPr>
        <w:t>bude s dostatečnou mírou pravděpodobnosti zřejmé, že očkované osoby se nemohou nakazit ani nákazu přenášet, není důvod na takové osoby uvalovat karanténu či zákaz volného pohybu či shromažďování;</w:t>
      </w:r>
    </w:p>
    <w:p w14:paraId="4F733B27" w14:textId="05DB952C" w:rsidR="002D55EE" w:rsidRPr="00140E2E" w:rsidRDefault="00EF3F06" w:rsidP="004415CB">
      <w:pPr>
        <w:numPr>
          <w:ilvl w:val="0"/>
          <w:numId w:val="7"/>
        </w:numPr>
        <w:spacing w:after="120" w:line="240" w:lineRule="auto"/>
        <w:jc w:val="both"/>
        <w:rPr>
          <w:b/>
          <w:bCs/>
        </w:rPr>
      </w:pPr>
      <w:r>
        <w:rPr>
          <w:b/>
          <w:bCs/>
        </w:rPr>
        <w:t>v</w:t>
      </w:r>
      <w:r w:rsidR="002D55EE" w:rsidRPr="00140E2E">
        <w:rPr>
          <w:b/>
          <w:bCs/>
        </w:rPr>
        <w:t>e srovnatelné pozici, jako očkovaní, by přitom měli být i ti, u nichž bude z jiných důvodů (např. dostatečného množství protilátek) prokázáno, že se nemohou nakazit ani nákazu přenášet</w:t>
      </w:r>
      <w:r w:rsidR="002D55EE">
        <w:rPr>
          <w:b/>
          <w:bCs/>
        </w:rPr>
        <w:t>;</w:t>
      </w:r>
    </w:p>
    <w:p w14:paraId="2C14B348" w14:textId="379ACF73" w:rsidR="00197ADF" w:rsidRPr="00140E2E" w:rsidRDefault="00197ADF" w:rsidP="004415CB">
      <w:pPr>
        <w:numPr>
          <w:ilvl w:val="0"/>
          <w:numId w:val="7"/>
        </w:numPr>
        <w:spacing w:after="120" w:line="240" w:lineRule="auto"/>
        <w:jc w:val="both"/>
        <w:rPr>
          <w:rFonts w:cs="Calibri"/>
          <w:b/>
          <w:bCs/>
        </w:rPr>
      </w:pPr>
      <w:r>
        <w:rPr>
          <w:b/>
          <w:bCs/>
        </w:rPr>
        <w:t>i když</w:t>
      </w:r>
      <w:r w:rsidRPr="00140E2E">
        <w:rPr>
          <w:b/>
          <w:bCs/>
        </w:rPr>
        <w:t xml:space="preserve"> je možné k odlišnému zacházení přistoupit i v situaci, kdy očkování není dostupné všem, musí být zajištění všeobecné dostupnosti očkování základní prioritou státu.</w:t>
      </w:r>
    </w:p>
    <w:p w14:paraId="1D4FA646" w14:textId="4BF6CA24" w:rsidR="007921C6" w:rsidRPr="00607148" w:rsidRDefault="007921C6" w:rsidP="00C57140">
      <w:pPr>
        <w:spacing w:after="120" w:line="240" w:lineRule="auto"/>
        <w:jc w:val="both"/>
        <w:rPr>
          <w:rFonts w:eastAsia="Times New Roman" w:cs="Calibri"/>
          <w:b/>
          <w:bCs/>
          <w:lang w:eastAsia="cs-CZ"/>
        </w:rPr>
      </w:pPr>
    </w:p>
    <w:p w14:paraId="5A25C2BE" w14:textId="21244680" w:rsidR="00C54E2E" w:rsidRPr="00607148" w:rsidRDefault="00A13D08" w:rsidP="00747A4B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607148">
        <w:rPr>
          <w:rFonts w:cs="Calibri"/>
        </w:rPr>
        <w:t xml:space="preserve">Na konci roku 2020 bylo </w:t>
      </w:r>
      <w:r w:rsidR="00E1398E" w:rsidRPr="00607148">
        <w:rPr>
          <w:rFonts w:cs="Calibri"/>
        </w:rPr>
        <w:t xml:space="preserve">v mnoha státech včetně České republiky </w:t>
      </w:r>
      <w:r w:rsidR="008163AB" w:rsidRPr="00607148">
        <w:rPr>
          <w:rFonts w:cs="Calibri"/>
        </w:rPr>
        <w:t>zahájeno očkování</w:t>
      </w:r>
      <w:r w:rsidRPr="00607148">
        <w:rPr>
          <w:rFonts w:cs="Calibri"/>
        </w:rPr>
        <w:t xml:space="preserve"> vakcínou proti </w:t>
      </w:r>
      <w:r w:rsidR="008163AB" w:rsidRPr="00607148">
        <w:rPr>
          <w:rFonts w:cs="Calibri"/>
        </w:rPr>
        <w:t>nemoci C</w:t>
      </w:r>
      <w:r w:rsidR="004636B0" w:rsidRPr="00607148">
        <w:rPr>
          <w:rFonts w:cs="Calibri"/>
        </w:rPr>
        <w:t>ovid</w:t>
      </w:r>
      <w:r w:rsidRPr="00607148">
        <w:rPr>
          <w:rFonts w:cs="Calibri"/>
        </w:rPr>
        <w:t xml:space="preserve">-19. </w:t>
      </w:r>
      <w:r w:rsidR="00E1398E" w:rsidRPr="00607148">
        <w:rPr>
          <w:rFonts w:cs="Calibri"/>
        </w:rPr>
        <w:t>Očkování</w:t>
      </w:r>
      <w:r w:rsidR="00EC42BC" w:rsidRPr="00607148">
        <w:rPr>
          <w:rFonts w:cs="Calibri"/>
        </w:rPr>
        <w:t xml:space="preserve"> co největšího počtu lidí</w:t>
      </w:r>
      <w:r w:rsidR="00E1398E" w:rsidRPr="00607148">
        <w:rPr>
          <w:rFonts w:cs="Calibri"/>
        </w:rPr>
        <w:t xml:space="preserve"> je vnímáno </w:t>
      </w:r>
      <w:r w:rsidR="00EC42BC" w:rsidRPr="00607148">
        <w:rPr>
          <w:rFonts w:cs="Calibri"/>
        </w:rPr>
        <w:t>jako klíčový nástroj k potlačení pandemie. Evropské státy plánují nabídnout možnost očkování postupně všem, přičemž přednost mají</w:t>
      </w:r>
      <w:r w:rsidR="008163AB" w:rsidRPr="00607148">
        <w:rPr>
          <w:rFonts w:cs="Calibri"/>
        </w:rPr>
        <w:t xml:space="preserve"> zpravidla</w:t>
      </w:r>
      <w:r w:rsidR="00EC42BC" w:rsidRPr="00607148">
        <w:rPr>
          <w:rFonts w:cs="Calibri"/>
        </w:rPr>
        <w:t xml:space="preserve"> zdravotníci, starší lidé a </w:t>
      </w:r>
      <w:r w:rsidR="008163AB" w:rsidRPr="00607148">
        <w:rPr>
          <w:rFonts w:cs="Calibri"/>
        </w:rPr>
        <w:t xml:space="preserve">jiné </w:t>
      </w:r>
      <w:r w:rsidR="00EC42BC" w:rsidRPr="00607148">
        <w:rPr>
          <w:rFonts w:cs="Calibri"/>
        </w:rPr>
        <w:t xml:space="preserve">ohrožené skupiny. </w:t>
      </w:r>
      <w:r w:rsidR="008163AB" w:rsidRPr="00607148">
        <w:rPr>
          <w:rFonts w:cs="Calibri"/>
        </w:rPr>
        <w:t xml:space="preserve">S ohledem na obecně známé potíže se zajištěním dostatku očkovací látky, distribucí a vlastním </w:t>
      </w:r>
      <w:r w:rsidR="00E94EFC">
        <w:rPr>
          <w:rFonts w:cs="Calibri"/>
        </w:rPr>
        <w:t>provedení</w:t>
      </w:r>
      <w:r w:rsidR="00197ADF">
        <w:rPr>
          <w:rFonts w:cs="Calibri"/>
        </w:rPr>
        <w:t>m</w:t>
      </w:r>
      <w:r w:rsidR="008163AB" w:rsidRPr="00607148">
        <w:rPr>
          <w:rFonts w:cs="Calibri"/>
        </w:rPr>
        <w:t xml:space="preserve"> očkování potřebného počtu lidí je zřejmé, že nás čeká – v optimistickém případě – ještě několik měsíců, než bude pandemie potlačena, popř. něž dojde k </w:t>
      </w:r>
      <w:r w:rsidR="00EC42BC" w:rsidRPr="00607148">
        <w:rPr>
          <w:rFonts w:cs="Calibri"/>
        </w:rPr>
        <w:t>vysoké mí</w:t>
      </w:r>
      <w:r w:rsidR="008163AB" w:rsidRPr="00607148">
        <w:rPr>
          <w:rFonts w:cs="Calibri"/>
        </w:rPr>
        <w:t>ře</w:t>
      </w:r>
      <w:r w:rsidR="00EC42BC" w:rsidRPr="00607148">
        <w:rPr>
          <w:rFonts w:cs="Calibri"/>
        </w:rPr>
        <w:t xml:space="preserve"> proočkovanosti</w:t>
      </w:r>
      <w:r w:rsidR="008163AB" w:rsidRPr="00607148">
        <w:rPr>
          <w:rFonts w:cs="Calibri"/>
        </w:rPr>
        <w:t>. Po tuto dobu</w:t>
      </w:r>
      <w:r w:rsidR="00EC42BC" w:rsidRPr="00607148">
        <w:rPr>
          <w:rFonts w:cs="Calibri"/>
        </w:rPr>
        <w:t xml:space="preserve"> zůstanou v platnosti přinejmenším některá omezení volného pohybu osob, vstupu do některých objektů, přístupu k některým službám či účasti na některých aktivitách</w:t>
      </w:r>
      <w:r w:rsidR="00D13C2A" w:rsidRPr="00607148">
        <w:rPr>
          <w:rFonts w:cs="Calibri"/>
        </w:rPr>
        <w:t xml:space="preserve">. </w:t>
      </w:r>
      <w:r w:rsidR="00D13C2A" w:rsidRPr="00140E2E">
        <w:rPr>
          <w:rFonts w:cs="Calibri"/>
          <w:b/>
          <w:bCs/>
        </w:rPr>
        <w:t>Vyvstala proto otázka, zda je právně přípustné, aby se některá z těchto omezení nevztahovala na očkované osoby.</w:t>
      </w:r>
      <w:r w:rsidR="008163AB" w:rsidRPr="00140E2E">
        <w:rPr>
          <w:rFonts w:cs="Calibri"/>
          <w:b/>
          <w:bCs/>
        </w:rPr>
        <w:t xml:space="preserve"> A pokud ano, za jakých podmínek.</w:t>
      </w:r>
      <w:r w:rsidR="00D13C2A" w:rsidRPr="00607148">
        <w:rPr>
          <w:rFonts w:cs="Calibri"/>
        </w:rPr>
        <w:t xml:space="preserve"> </w:t>
      </w:r>
    </w:p>
    <w:p w14:paraId="2F345690" w14:textId="2F90AD18" w:rsidR="00D530F4" w:rsidRPr="00607148" w:rsidRDefault="00A13D08" w:rsidP="00747A4B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607148">
        <w:rPr>
          <w:rFonts w:cs="Calibri"/>
        </w:rPr>
        <w:t>Podle čl. 7 odst. 1 Listiny</w:t>
      </w:r>
      <w:r w:rsidR="00C54E2E" w:rsidRPr="00607148">
        <w:rPr>
          <w:rFonts w:cs="Calibri"/>
        </w:rPr>
        <w:t xml:space="preserve"> základních práv a svobod (dále jen „Listina“)</w:t>
      </w:r>
      <w:r w:rsidRPr="00607148">
        <w:rPr>
          <w:rFonts w:cs="Calibri"/>
        </w:rPr>
        <w:t xml:space="preserve"> „n</w:t>
      </w:r>
      <w:r w:rsidRPr="00607148">
        <w:t xml:space="preserve">edotknutelnost osoby a jejího soukromí je zaručena“ a „omezena může být jen v případech stanovených zákonem“. </w:t>
      </w:r>
      <w:r w:rsidR="00C54E2E" w:rsidRPr="00607148">
        <w:t xml:space="preserve">Podle </w:t>
      </w:r>
      <w:r w:rsidR="008C2ECF" w:rsidRPr="00607148">
        <w:t xml:space="preserve">čl. 1 Listiny „lidé jsou svobodní a rovní v důstojnosti a v právech“ a podle </w:t>
      </w:r>
      <w:r w:rsidR="00C54E2E" w:rsidRPr="00607148">
        <w:t xml:space="preserve">čl. 3 odst. 1 Listiny „základní práva a svobody se zaručují všem bez rozdílu pohlaví, rasy, barvy pleti, jazyka, víry a náboženství, politického či jiného smýšlení, národního nebo sociálního původu, příslušnosti k národnostní nebo etnické menšině, majetku, rodu nebo jiného postavení“. Podle čl. 10 odst. 2 a 3 Listiny „každý má právo na ochranu před neoprávněným zasahováním do soukromého a rodinného života“ a „každý má právo na ochranu před neoprávněným shromažďováním, zveřejňováním nebo jiným zneužíváním údajů o své osobě“. Podle § 2 odst. 3 antidiskriminačního zákona „přímou diskriminací se </w:t>
      </w:r>
      <w:r w:rsidR="00C54E2E" w:rsidRPr="00607148">
        <w:lastRenderedPageBreak/>
        <w:t>rozumí takové jednání, včetně opomenutí, kdy se s jednou osobou zachází méně příznivě, než se zachází nebo zacházelo nebo by se zacházelo s jinou osobou ve srovnatelné situaci, a to z důvodu rasy, etnického původu, národnosti, pohlaví, sexuální orientace, věku, zdravotního postižení, náboženského vyznání, víry či světového názoru…“ Podle § 6 zákona o ochraně spotřebitele „prodávající nesmí při prodeji výrobků nebo poskytování služeb spotřebitele diskriminovat“.</w:t>
      </w:r>
      <w:r w:rsidR="007C730D" w:rsidRPr="00607148">
        <w:t xml:space="preserve"> </w:t>
      </w:r>
      <w:r w:rsidR="00DF0665">
        <w:rPr>
          <w:b/>
          <w:bCs/>
        </w:rPr>
        <w:t>J</w:t>
      </w:r>
      <w:r w:rsidR="002C1C05" w:rsidRPr="00140E2E">
        <w:rPr>
          <w:b/>
          <w:bCs/>
        </w:rPr>
        <w:t>e tedy rozhodné,</w:t>
      </w:r>
      <w:r w:rsidR="007C730D" w:rsidRPr="00140E2E">
        <w:rPr>
          <w:b/>
          <w:bCs/>
        </w:rPr>
        <w:t xml:space="preserve"> zda případné podmiňování volného pohybu, vstupu do</w:t>
      </w:r>
      <w:r w:rsidR="004415CB">
        <w:rPr>
          <w:b/>
          <w:bCs/>
        </w:rPr>
        <w:t> </w:t>
      </w:r>
      <w:r w:rsidR="007C730D" w:rsidRPr="00140E2E">
        <w:rPr>
          <w:b/>
          <w:bCs/>
        </w:rPr>
        <w:t xml:space="preserve">objektu či účasti na některé aktivitě </w:t>
      </w:r>
      <w:r w:rsidR="002C1C05" w:rsidRPr="00140E2E">
        <w:rPr>
          <w:b/>
          <w:bCs/>
        </w:rPr>
        <w:t xml:space="preserve">očkováním je či </w:t>
      </w:r>
      <w:r w:rsidR="007C730D" w:rsidRPr="00140E2E">
        <w:rPr>
          <w:b/>
          <w:bCs/>
        </w:rPr>
        <w:t>není nepřípustným zásahem do nedotknutelnosti osoby nebo do jejího soukromí nebo zakázanou diskriminací.</w:t>
      </w:r>
      <w:r w:rsidR="007C730D" w:rsidRPr="00607148">
        <w:t xml:space="preserve"> </w:t>
      </w:r>
    </w:p>
    <w:p w14:paraId="6506BEC9" w14:textId="235D1EA5" w:rsidR="00DC3FB8" w:rsidRDefault="00381D2B" w:rsidP="00381D2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140E2E">
        <w:rPr>
          <w:rFonts w:asciiTheme="minorHAnsi" w:hAnsiTheme="minorHAnsi" w:cstheme="minorHAnsi"/>
        </w:rPr>
        <w:t>V České republice existuje celá řada povinných očkování</w:t>
      </w:r>
      <w:r w:rsidR="002C1C05" w:rsidRPr="00607148">
        <w:rPr>
          <w:rStyle w:val="Znakapoznpodarou"/>
          <w:rFonts w:asciiTheme="minorHAnsi" w:hAnsiTheme="minorHAnsi" w:cstheme="minorHAnsi"/>
        </w:rPr>
        <w:footnoteReference w:id="1"/>
      </w:r>
      <w:r w:rsidRPr="00140E2E">
        <w:rPr>
          <w:rFonts w:asciiTheme="minorHAnsi" w:hAnsiTheme="minorHAnsi" w:cstheme="minorHAnsi"/>
        </w:rPr>
        <w:t xml:space="preserve"> – např. proti </w:t>
      </w:r>
      <w:r w:rsidRPr="00140E2E">
        <w:rPr>
          <w:rFonts w:asciiTheme="minorHAnsi" w:hAnsiTheme="minorHAnsi" w:cstheme="minorHAnsi"/>
          <w:color w:val="212121"/>
          <w:shd w:val="clear" w:color="auto" w:fill="FFFFFF"/>
        </w:rPr>
        <w:t>záškrtu, tetanu, dávivému kašli, přenosné dětské obrně a virové hepatitidě B, proti spalničkám, zarděnkám</w:t>
      </w:r>
      <w:r w:rsidRPr="00140E2E">
        <w:rPr>
          <w:rFonts w:asciiTheme="minorHAnsi" w:hAnsiTheme="minorHAnsi" w:cstheme="minorHAnsi"/>
        </w:rPr>
        <w:t xml:space="preserve">. </w:t>
      </w:r>
      <w:r w:rsidR="00DC3FB8" w:rsidRPr="00607148">
        <w:rPr>
          <w:rFonts w:asciiTheme="minorHAnsi" w:hAnsiTheme="minorHAnsi" w:cstheme="minorHAnsi"/>
        </w:rPr>
        <w:t>Je obecně známo, že m</w:t>
      </w:r>
      <w:r w:rsidRPr="00140E2E">
        <w:rPr>
          <w:rFonts w:asciiTheme="minorHAnsi" w:hAnsiTheme="minorHAnsi" w:cstheme="minorHAnsi"/>
        </w:rPr>
        <w:t>ateřské školy a další zařízení mohou přijmout pouze dítě, které se podrobilo stanoveným pravidelným očkováním.</w:t>
      </w:r>
      <w:r w:rsidR="00DC3FB8" w:rsidRPr="00607148">
        <w:rPr>
          <w:rStyle w:val="Znakapoznpodarou"/>
          <w:rFonts w:asciiTheme="minorHAnsi" w:hAnsiTheme="minorHAnsi" w:cstheme="minorHAnsi"/>
        </w:rPr>
        <w:footnoteReference w:id="2"/>
      </w:r>
      <w:r w:rsidRPr="00140E2E">
        <w:rPr>
          <w:rFonts w:asciiTheme="minorHAnsi" w:hAnsiTheme="minorHAnsi" w:cstheme="minorHAnsi"/>
        </w:rPr>
        <w:t xml:space="preserve"> Ústavní soud</w:t>
      </w:r>
      <w:r w:rsidR="00DC3FB8" w:rsidRPr="00607148">
        <w:rPr>
          <w:rFonts w:asciiTheme="minorHAnsi" w:hAnsiTheme="minorHAnsi" w:cstheme="minorHAnsi"/>
        </w:rPr>
        <w:t xml:space="preserve"> potvrdil </w:t>
      </w:r>
      <w:r w:rsidR="00140E2E" w:rsidRPr="00607148">
        <w:rPr>
          <w:rFonts w:asciiTheme="minorHAnsi" w:hAnsiTheme="minorHAnsi" w:cstheme="minorHAnsi"/>
        </w:rPr>
        <w:t xml:space="preserve">ústavnost </w:t>
      </w:r>
      <w:r w:rsidR="00140E2E" w:rsidRPr="00607148" w:rsidDel="00DC3FB8">
        <w:rPr>
          <w:rFonts w:asciiTheme="minorHAnsi" w:hAnsiTheme="minorHAnsi" w:cstheme="minorHAnsi"/>
        </w:rPr>
        <w:t>povinného</w:t>
      </w:r>
      <w:r w:rsidRPr="00140E2E">
        <w:rPr>
          <w:rFonts w:asciiTheme="minorHAnsi" w:hAnsiTheme="minorHAnsi" w:cstheme="minorHAnsi"/>
        </w:rPr>
        <w:t xml:space="preserve"> očkování</w:t>
      </w:r>
      <w:r w:rsidR="00DC3FB8" w:rsidRPr="00607148">
        <w:rPr>
          <w:rStyle w:val="Znakapoznpodarou"/>
          <w:rFonts w:asciiTheme="minorHAnsi" w:hAnsiTheme="minorHAnsi" w:cstheme="minorHAnsi"/>
        </w:rPr>
        <w:footnoteReference w:id="3"/>
      </w:r>
      <w:r w:rsidRPr="00140E2E">
        <w:rPr>
          <w:rFonts w:asciiTheme="minorHAnsi" w:hAnsiTheme="minorHAnsi" w:cstheme="minorHAnsi"/>
        </w:rPr>
        <w:t xml:space="preserve"> i nepřijímání neočkovaných dětí do mateřských škol</w:t>
      </w:r>
      <w:r w:rsidR="00DC3FB8" w:rsidRPr="00607148">
        <w:rPr>
          <w:rFonts w:asciiTheme="minorHAnsi" w:hAnsiTheme="minorHAnsi" w:cstheme="minorHAnsi"/>
        </w:rPr>
        <w:t>.</w:t>
      </w:r>
      <w:r w:rsidR="00DC3FB8" w:rsidRPr="00607148">
        <w:rPr>
          <w:rStyle w:val="Znakapoznpodarou"/>
          <w:rFonts w:asciiTheme="minorHAnsi" w:hAnsiTheme="minorHAnsi" w:cstheme="minorHAnsi"/>
        </w:rPr>
        <w:footnoteReference w:id="4"/>
      </w:r>
      <w:r w:rsidRPr="00140E2E">
        <w:rPr>
          <w:rFonts w:asciiTheme="minorHAnsi" w:hAnsiTheme="minorHAnsi" w:cstheme="minorHAnsi"/>
        </w:rPr>
        <w:t xml:space="preserve"> </w:t>
      </w:r>
      <w:r w:rsidR="00401525" w:rsidRPr="00607148">
        <w:rPr>
          <w:rFonts w:asciiTheme="minorHAnsi" w:hAnsiTheme="minorHAnsi" w:cstheme="minorHAnsi"/>
        </w:rPr>
        <w:t>Rozlišování</w:t>
      </w:r>
      <w:r w:rsidR="00DC3FB8" w:rsidRPr="00607148">
        <w:rPr>
          <w:rFonts w:asciiTheme="minorHAnsi" w:hAnsiTheme="minorHAnsi" w:cstheme="minorHAnsi"/>
        </w:rPr>
        <w:t xml:space="preserve"> mezi očkovanými</w:t>
      </w:r>
      <w:r w:rsidR="00401525" w:rsidRPr="00607148">
        <w:rPr>
          <w:rFonts w:asciiTheme="minorHAnsi" w:hAnsiTheme="minorHAnsi" w:cstheme="minorHAnsi"/>
        </w:rPr>
        <w:t xml:space="preserve"> a neočkovanými</w:t>
      </w:r>
      <w:r w:rsidR="004F11E2">
        <w:rPr>
          <w:rFonts w:asciiTheme="minorHAnsi" w:hAnsiTheme="minorHAnsi" w:cstheme="minorHAnsi"/>
        </w:rPr>
        <w:t>,</w:t>
      </w:r>
      <w:r w:rsidR="00401525" w:rsidRPr="00607148">
        <w:rPr>
          <w:rFonts w:asciiTheme="minorHAnsi" w:hAnsiTheme="minorHAnsi" w:cstheme="minorHAnsi"/>
        </w:rPr>
        <w:t xml:space="preserve"> pokud jde o přístup k některým službám, není českému právnímu řádu neznámé a bylo ústavně potvrzeno.</w:t>
      </w:r>
    </w:p>
    <w:p w14:paraId="0E610ABE" w14:textId="749267A2" w:rsidR="00910666" w:rsidRPr="00910666" w:rsidRDefault="00910666" w:rsidP="00910666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607148">
        <w:rPr>
          <w:rFonts w:asciiTheme="minorHAnsi" w:hAnsiTheme="minorHAnsi" w:cstheme="minorHAnsi"/>
        </w:rPr>
        <w:t>O</w:t>
      </w:r>
      <w:r w:rsidRPr="00607148">
        <w:rPr>
          <w:rFonts w:asciiTheme="minorHAnsi" w:hAnsiTheme="minorHAnsi" w:cstheme="minorHAnsi"/>
          <w:color w:val="212121"/>
          <w:shd w:val="clear" w:color="auto" w:fill="FFFFFF"/>
        </w:rPr>
        <w:t xml:space="preserve">čkování proti </w:t>
      </w:r>
      <w:r w:rsidRPr="00607148">
        <w:rPr>
          <w:rFonts w:asciiTheme="minorHAnsi" w:hAnsiTheme="minorHAnsi" w:cstheme="minorHAnsi"/>
        </w:rPr>
        <w:t xml:space="preserve">Covid-19 mezi povinná očkování nepatří. </w:t>
      </w:r>
      <w:r>
        <w:rPr>
          <w:rFonts w:asciiTheme="minorHAnsi" w:hAnsiTheme="minorHAnsi" w:cstheme="minorHAnsi"/>
        </w:rPr>
        <w:t>Zá</w:t>
      </w:r>
      <w:r w:rsidRPr="00DA4010">
        <w:rPr>
          <w:rFonts w:asciiTheme="minorHAnsi" w:eastAsia="Times New Roman" w:hAnsiTheme="minorHAnsi" w:cstheme="minorHAnsi"/>
          <w:lang w:eastAsia="cs-CZ"/>
        </w:rPr>
        <w:t xml:space="preserve">kon č. 569/2020 Sb. </w:t>
      </w:r>
      <w:r w:rsidRPr="00607148">
        <w:rPr>
          <w:rFonts w:asciiTheme="minorHAnsi" w:eastAsia="Times New Roman" w:hAnsiTheme="minorHAnsi" w:cstheme="minorHAnsi"/>
          <w:lang w:eastAsia="cs-CZ"/>
        </w:rPr>
        <w:t xml:space="preserve">pouze </w:t>
      </w:r>
      <w:r w:rsidRPr="00DA4010">
        <w:rPr>
          <w:rFonts w:asciiTheme="minorHAnsi" w:eastAsia="Times New Roman" w:hAnsiTheme="minorHAnsi" w:cstheme="minorHAnsi"/>
          <w:lang w:eastAsia="cs-CZ"/>
        </w:rPr>
        <w:t xml:space="preserve">stanovuje, že </w:t>
      </w:r>
      <w:r w:rsidRPr="00607148">
        <w:rPr>
          <w:rFonts w:asciiTheme="minorHAnsi" w:eastAsia="Times New Roman" w:hAnsiTheme="minorHAnsi" w:cstheme="minorHAnsi"/>
          <w:lang w:eastAsia="cs-CZ"/>
        </w:rPr>
        <w:t xml:space="preserve">má být </w:t>
      </w:r>
      <w:r w:rsidRPr="00DA4010">
        <w:rPr>
          <w:rFonts w:asciiTheme="minorHAnsi" w:eastAsia="Times New Roman" w:hAnsiTheme="minorHAnsi" w:cstheme="minorHAnsi"/>
          <w:lang w:eastAsia="cs-CZ"/>
        </w:rPr>
        <w:t>hrazeno ze zdravotního pojištění a že stát nahradí případnou újmu způsobenou očkováním.</w:t>
      </w:r>
    </w:p>
    <w:p w14:paraId="4445350B" w14:textId="1C91FC09" w:rsidR="00401525" w:rsidRPr="00607148" w:rsidRDefault="00A13D08" w:rsidP="00717911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607148">
        <w:rPr>
          <w:rFonts w:cs="Calibri"/>
        </w:rPr>
        <w:t>Klíčovým východiskem úvah o protiepidemických omezeních základních práv a svobod je čl. 4 odst. 4 Listiny, podle něhož „p</w:t>
      </w:r>
      <w:r w:rsidRPr="00607148">
        <w:t>ři používání ustanovení o mezích základních práv a svobod musí být šetřeno jejich podstaty a</w:t>
      </w:r>
      <w:r w:rsidR="004415CB">
        <w:t> </w:t>
      </w:r>
      <w:r w:rsidRPr="00607148">
        <w:t>smyslu“</w:t>
      </w:r>
      <w:r w:rsidR="0040429D" w:rsidRPr="00607148">
        <w:t xml:space="preserve">, a § 5 a 6 krizového zákona, podle nichž může vláda omezovat základní práva jen „na nezbytně nutnou dobu a v nezbytně nutném rozsahu“. Je-li jediným účelem všech omezení ochrana před šířením nakažlivé nemoci a očkovaný sebe ani nikoho jiného nakazit nemůže, odpadá důvod, proč by měl být </w:t>
      </w:r>
      <w:r w:rsidR="00401525" w:rsidRPr="00607148">
        <w:t xml:space="preserve">dotyčný člověk </w:t>
      </w:r>
      <w:r w:rsidR="0040429D" w:rsidRPr="00607148">
        <w:t xml:space="preserve">omezován. </w:t>
      </w:r>
      <w:r w:rsidR="00CD6723" w:rsidRPr="00607148">
        <w:t>Rozlišování očkovaných a neočkovanýc</w:t>
      </w:r>
      <w:r w:rsidR="00401525" w:rsidRPr="00607148">
        <w:t xml:space="preserve">h, pokud jde o rozsah omezení základních lidských práv, </w:t>
      </w:r>
      <w:r w:rsidR="00CD6723" w:rsidRPr="00607148">
        <w:t>tedy možné je</w:t>
      </w:r>
      <w:r w:rsidR="00401525" w:rsidRPr="00607148">
        <w:t xml:space="preserve">. </w:t>
      </w:r>
      <w:r w:rsidR="00717911" w:rsidRPr="00607148">
        <w:rPr>
          <w:rFonts w:cs="Calibri"/>
        </w:rPr>
        <w:t xml:space="preserve">Naopak </w:t>
      </w:r>
      <w:r w:rsidR="00DF0665">
        <w:rPr>
          <w:rFonts w:cs="Calibri"/>
        </w:rPr>
        <w:t xml:space="preserve">bezdůvodné </w:t>
      </w:r>
      <w:r w:rsidR="00717911" w:rsidRPr="00607148">
        <w:rPr>
          <w:rFonts w:cs="Calibri"/>
        </w:rPr>
        <w:t>o</w:t>
      </w:r>
      <w:r w:rsidR="00401525" w:rsidRPr="00607148">
        <w:t>mezování základních svobod očkovaného by ve světle uvedených ustanovení mohlo být považováno za neústavní.</w:t>
      </w:r>
      <w:r w:rsidR="004B01B8" w:rsidRPr="00607148">
        <w:t xml:space="preserve"> </w:t>
      </w:r>
    </w:p>
    <w:p w14:paraId="4FBD789C" w14:textId="438AB173" w:rsidR="004B01B8" w:rsidRPr="00607148" w:rsidRDefault="00401525" w:rsidP="0046572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607148">
        <w:t>Možnost rozlišovat mezi očkovanými a neočkovanými</w:t>
      </w:r>
      <w:r w:rsidR="004B01B8" w:rsidRPr="00607148">
        <w:t xml:space="preserve"> může </w:t>
      </w:r>
      <w:r w:rsidR="0040429D" w:rsidRPr="00607148">
        <w:t xml:space="preserve">platit </w:t>
      </w:r>
      <w:r w:rsidR="00EF3F06">
        <w:t>t</w:t>
      </w:r>
      <w:r w:rsidR="0040429D" w:rsidRPr="00607148">
        <w:t xml:space="preserve">ehdy, </w:t>
      </w:r>
      <w:r w:rsidR="004B01B8" w:rsidRPr="00607148">
        <w:t xml:space="preserve">kdy </w:t>
      </w:r>
      <w:r w:rsidR="0040429D" w:rsidRPr="00607148">
        <w:t>bude vědecky prokázáno, že</w:t>
      </w:r>
      <w:r w:rsidR="004415CB">
        <w:t> </w:t>
      </w:r>
      <w:r w:rsidR="004B01B8" w:rsidRPr="00607148">
        <w:t xml:space="preserve">s vysokou pravděpodobností se </w:t>
      </w:r>
      <w:r w:rsidR="0040429D" w:rsidRPr="00607148">
        <w:t xml:space="preserve">očkované osoby </w:t>
      </w:r>
      <w:r w:rsidR="004B01B8" w:rsidRPr="00607148">
        <w:t xml:space="preserve">nejen </w:t>
      </w:r>
      <w:r w:rsidR="0040429D" w:rsidRPr="00607148">
        <w:t>nemohou nakazit, ale ani nemohou nákazu přenášet</w:t>
      </w:r>
      <w:r w:rsidR="004B01B8" w:rsidRPr="00607148">
        <w:t>, resp. že očkování významně snižuje riziko dalšího přenosu</w:t>
      </w:r>
      <w:r w:rsidR="0040429D" w:rsidRPr="00607148">
        <w:t xml:space="preserve">. </w:t>
      </w:r>
    </w:p>
    <w:p w14:paraId="4C33B066" w14:textId="52520399" w:rsidR="00A93192" w:rsidRPr="00607148" w:rsidRDefault="009D5948" w:rsidP="00A93192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607148">
        <w:t>Ve srovnatelné pozici</w:t>
      </w:r>
      <w:r w:rsidR="0046572C" w:rsidRPr="00607148">
        <w:t>,</w:t>
      </w:r>
      <w:r w:rsidRPr="00607148">
        <w:t xml:space="preserve"> jako očkovaní</w:t>
      </w:r>
      <w:r w:rsidR="0046572C" w:rsidRPr="00607148">
        <w:t>,</w:t>
      </w:r>
      <w:r w:rsidRPr="00607148">
        <w:t xml:space="preserve"> by </w:t>
      </w:r>
      <w:r w:rsidR="00717911" w:rsidRPr="00607148">
        <w:t xml:space="preserve">přitom </w:t>
      </w:r>
      <w:r w:rsidRPr="00607148">
        <w:t xml:space="preserve">měli být i ti, u nichž bude z jiných důvodů (např. dostatečného množství protilátek) prokázáno, že se nemohou nakazit ani nákazu přenášet. </w:t>
      </w:r>
      <w:r w:rsidR="0046572C" w:rsidRPr="00607148">
        <w:t xml:space="preserve">To by bylo možné prokázat jednak dokladem o prodělané nemoci určitého stáří (v danou chvíli jsou standardem tři měsíce), </w:t>
      </w:r>
      <w:r w:rsidR="002D55EE">
        <w:t>testem protilátek nebo</w:t>
      </w:r>
      <w:r w:rsidR="0046572C" w:rsidRPr="00607148">
        <w:t xml:space="preserve"> aktuálním negativní testem.</w:t>
      </w:r>
      <w:r w:rsidR="00A93192" w:rsidRPr="00607148">
        <w:rPr>
          <w:rFonts w:cs="Calibri"/>
        </w:rPr>
        <w:t xml:space="preserve"> </w:t>
      </w:r>
      <w:r w:rsidR="00B50B45">
        <w:rPr>
          <w:rFonts w:cs="Calibri"/>
        </w:rPr>
        <w:t>Nelze ostatně vyloučit, že minimálně v případě osob, které nemoc již prodělaly a</w:t>
      </w:r>
      <w:r w:rsidR="004415CB">
        <w:rPr>
          <w:rFonts w:cs="Calibri"/>
        </w:rPr>
        <w:t> </w:t>
      </w:r>
      <w:r w:rsidR="00B50B45">
        <w:rPr>
          <w:rFonts w:cs="Calibri"/>
        </w:rPr>
        <w:t>prokazatelně (po určitou dobu) nepředstavují akutní epidemické nebezpečí, je jejich omezování v pohybu a</w:t>
      </w:r>
      <w:r w:rsidR="004415CB">
        <w:rPr>
          <w:rFonts w:cs="Calibri"/>
        </w:rPr>
        <w:t> </w:t>
      </w:r>
      <w:r w:rsidR="00B50B45">
        <w:rPr>
          <w:rFonts w:cs="Calibri"/>
        </w:rPr>
        <w:t>přístupu ke službám také právně problematické, neboť nenaplňuje účel, k němuž opatření směřují.</w:t>
      </w:r>
    </w:p>
    <w:p w14:paraId="4CD09F95" w14:textId="41186087" w:rsidR="002F402E" w:rsidRPr="00607148" w:rsidRDefault="00A93192" w:rsidP="00A93192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607148">
        <w:rPr>
          <w:rFonts w:cs="Calibri"/>
        </w:rPr>
        <w:t xml:space="preserve">U osob, které nemohou být očkovány kvůli svému zdravotnímu stavu, hrozí nebezpečí jejich diskriminace z důvodu zdravotního postižení, která je zakázaná. Zde i v jiných případech, kdy očkování není možné – např. v případě dětí – by bylo vhodné podmínku očkování nahradit například negativním testem nebo jiným potvrzením o nenakažlivosti. </w:t>
      </w:r>
    </w:p>
    <w:p w14:paraId="2F65DCC1" w14:textId="5A91A601" w:rsidR="00BD34E0" w:rsidRPr="00607148" w:rsidRDefault="00A13D08" w:rsidP="00BF1722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607148">
        <w:rPr>
          <w:rFonts w:cs="Calibri"/>
        </w:rPr>
        <w:lastRenderedPageBreak/>
        <w:t xml:space="preserve">Podmiňovat vstup na </w:t>
      </w:r>
      <w:r w:rsidR="002D55EE">
        <w:rPr>
          <w:rFonts w:cs="Calibri"/>
        </w:rPr>
        <w:t>určitý typ</w:t>
      </w:r>
      <w:r w:rsidR="002D55EE" w:rsidRPr="00607148">
        <w:rPr>
          <w:rFonts w:cs="Calibri"/>
        </w:rPr>
        <w:t xml:space="preserve"> </w:t>
      </w:r>
      <w:r w:rsidRPr="00607148">
        <w:rPr>
          <w:rFonts w:cs="Calibri"/>
        </w:rPr>
        <w:t>akc</w:t>
      </w:r>
      <w:r w:rsidR="002D55EE">
        <w:rPr>
          <w:rFonts w:cs="Calibri"/>
        </w:rPr>
        <w:t>e</w:t>
      </w:r>
      <w:r w:rsidRPr="00607148">
        <w:rPr>
          <w:rFonts w:cs="Calibri"/>
        </w:rPr>
        <w:t xml:space="preserve"> nebo přístup k </w:t>
      </w:r>
      <w:r w:rsidR="002D55EE">
        <w:rPr>
          <w:rFonts w:cs="Calibri"/>
        </w:rPr>
        <w:t>určité</w:t>
      </w:r>
      <w:r w:rsidR="002D55EE" w:rsidRPr="00607148">
        <w:rPr>
          <w:rFonts w:cs="Calibri"/>
        </w:rPr>
        <w:t xml:space="preserve"> </w:t>
      </w:r>
      <w:r w:rsidRPr="00607148">
        <w:rPr>
          <w:rFonts w:cs="Calibri"/>
        </w:rPr>
        <w:t>službě očkováním dále není přípustné tam, kde to</w:t>
      </w:r>
      <w:r w:rsidR="004415CB">
        <w:rPr>
          <w:rFonts w:cs="Calibri"/>
        </w:rPr>
        <w:t> </w:t>
      </w:r>
      <w:r w:rsidRPr="00607148">
        <w:rPr>
          <w:rFonts w:cs="Calibri"/>
        </w:rPr>
        <w:t xml:space="preserve">není nezbytné pro zabránění šíření nákazy. Bylo by například nepřiměřené, kdyby se tak dělo v nákupních střediscích, kde lze zajistit potřebné rozestupy a hygienické standardy. Naproti tomu při osobní letecké přepravě se taková podmínka jeví být </w:t>
      </w:r>
      <w:r w:rsidR="00381D2B" w:rsidRPr="00607148">
        <w:rPr>
          <w:rFonts w:cs="Calibri"/>
        </w:rPr>
        <w:t xml:space="preserve">v určitém rozsahu </w:t>
      </w:r>
      <w:r w:rsidRPr="00607148">
        <w:rPr>
          <w:rFonts w:cs="Calibri"/>
        </w:rPr>
        <w:t>přiměřenou</w:t>
      </w:r>
      <w:r w:rsidR="00381D2B" w:rsidRPr="00607148">
        <w:rPr>
          <w:rFonts w:cs="Calibri"/>
        </w:rPr>
        <w:t>.</w:t>
      </w:r>
      <w:r w:rsidRPr="00607148">
        <w:rPr>
          <w:rFonts w:cs="Calibri"/>
        </w:rPr>
        <w:t xml:space="preserve"> </w:t>
      </w:r>
      <w:r w:rsidR="0006744E">
        <w:rPr>
          <w:rFonts w:cs="Calibri"/>
        </w:rPr>
        <w:t xml:space="preserve">I zde ovšem platí, že by měla existovat možnost, jak </w:t>
      </w:r>
      <w:r w:rsidR="00EF3F06">
        <w:rPr>
          <w:rFonts w:cs="Calibri"/>
        </w:rPr>
        <w:t>nenakažlivost</w:t>
      </w:r>
      <w:r w:rsidR="0006744E">
        <w:rPr>
          <w:rFonts w:cs="Calibri"/>
        </w:rPr>
        <w:t xml:space="preserve"> prokázat jinak, ideálně aktuálním PCR testem, případně ještě v</w:t>
      </w:r>
      <w:r w:rsidR="002D55EE">
        <w:rPr>
          <w:rFonts w:cs="Calibri"/>
        </w:rPr>
        <w:t> </w:t>
      </w:r>
      <w:r w:rsidR="0006744E">
        <w:rPr>
          <w:rFonts w:cs="Calibri"/>
        </w:rPr>
        <w:t>kombinaci s</w:t>
      </w:r>
      <w:r w:rsidR="004415CB">
        <w:rPr>
          <w:rFonts w:cs="Calibri"/>
        </w:rPr>
        <w:t> </w:t>
      </w:r>
      <w:r w:rsidR="0006744E">
        <w:rPr>
          <w:rFonts w:cs="Calibri"/>
        </w:rPr>
        <w:t>antigenním testem provedeným přímo na letišti</w:t>
      </w:r>
      <w:r w:rsidR="00992FC3">
        <w:rPr>
          <w:rFonts w:cs="Calibri"/>
        </w:rPr>
        <w:t xml:space="preserve"> (či jiným způsobem, který bude epidemiologicky považován za dostatečný).</w:t>
      </w:r>
      <w:r w:rsidR="0006744E">
        <w:rPr>
          <w:rFonts w:cs="Calibri"/>
        </w:rPr>
        <w:t xml:space="preserve"> </w:t>
      </w:r>
    </w:p>
    <w:p w14:paraId="3C65BBC4" w14:textId="0E37A105" w:rsidR="00162A70" w:rsidRPr="00607148" w:rsidRDefault="00A13D08" w:rsidP="00BF1722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607148">
        <w:rPr>
          <w:rFonts w:cs="Calibri"/>
        </w:rPr>
        <w:t xml:space="preserve">Neposkytnutí </w:t>
      </w:r>
      <w:r w:rsidR="00EE53C2" w:rsidRPr="00607148">
        <w:rPr>
          <w:rFonts w:cs="Calibri"/>
        </w:rPr>
        <w:t xml:space="preserve">určité </w:t>
      </w:r>
      <w:r w:rsidRPr="00607148">
        <w:rPr>
          <w:rFonts w:cs="Calibri"/>
        </w:rPr>
        <w:t xml:space="preserve">služby nebo nevpuštění do </w:t>
      </w:r>
      <w:r w:rsidR="00EE53C2" w:rsidRPr="00607148">
        <w:rPr>
          <w:rFonts w:cs="Calibri"/>
        </w:rPr>
        <w:t xml:space="preserve">konkrétního </w:t>
      </w:r>
      <w:r w:rsidRPr="00607148">
        <w:rPr>
          <w:rFonts w:cs="Calibri"/>
        </w:rPr>
        <w:t xml:space="preserve">objektu soukromým provozovatelem za splnění </w:t>
      </w:r>
      <w:r w:rsidR="00A93192" w:rsidRPr="00607148">
        <w:rPr>
          <w:rFonts w:cs="Calibri"/>
        </w:rPr>
        <w:t xml:space="preserve">uvedených </w:t>
      </w:r>
      <w:r w:rsidRPr="00607148">
        <w:rPr>
          <w:rFonts w:cs="Calibri"/>
        </w:rPr>
        <w:t xml:space="preserve">podmínek </w:t>
      </w:r>
      <w:r w:rsidRPr="00140E2E">
        <w:rPr>
          <w:rFonts w:cs="Calibri"/>
          <w:b/>
          <w:bCs/>
        </w:rPr>
        <w:t>není zakázanou diskriminací</w:t>
      </w:r>
      <w:r w:rsidRPr="00607148">
        <w:rPr>
          <w:rFonts w:cs="Calibri"/>
        </w:rPr>
        <w:t xml:space="preserve"> ve smyslu antidiskriminačního zákona či zákona o ochraně spotřebitele. Okolnost, zda je člověk očkovaný, není zakázaným kritériem rozlišování (tzv. podezřelé kritérium) a pro takové odlišování je legitimní důvod spočívající v absenci rizika šíření nakažlivé nemoci u očkovaných osob. </w:t>
      </w:r>
      <w:r w:rsidR="00C05BB0" w:rsidRPr="00607148">
        <w:rPr>
          <w:rFonts w:cs="Calibri"/>
        </w:rPr>
        <w:t>Zároveň je i</w:t>
      </w:r>
      <w:r w:rsidRPr="00607148">
        <w:rPr>
          <w:rFonts w:cs="Calibri"/>
        </w:rPr>
        <w:t xml:space="preserve">nformace o očkování </w:t>
      </w:r>
      <w:r w:rsidRPr="00140E2E">
        <w:rPr>
          <w:rFonts w:cs="Calibri"/>
          <w:b/>
          <w:bCs/>
        </w:rPr>
        <w:t>osobním údajem</w:t>
      </w:r>
      <w:r w:rsidRPr="00607148">
        <w:rPr>
          <w:rFonts w:cs="Calibri"/>
        </w:rPr>
        <w:t xml:space="preserve">, s nímž je třeba nakládat v souladu s evropskými a českými právními předpisy regulujícími ochranu osobních údajů. </w:t>
      </w:r>
    </w:p>
    <w:p w14:paraId="40109285" w14:textId="07290460" w:rsidR="00AC4B1A" w:rsidRPr="00607148" w:rsidRDefault="00A13D08" w:rsidP="00BF1722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607148">
        <w:rPr>
          <w:rFonts w:cs="Calibri"/>
        </w:rPr>
        <w:t xml:space="preserve">Výše uvedené závěry platí v zásadě i </w:t>
      </w:r>
      <w:r w:rsidR="00501C9B" w:rsidRPr="00607148">
        <w:rPr>
          <w:rFonts w:cs="Calibri"/>
        </w:rPr>
        <w:t>v </w:t>
      </w:r>
      <w:r w:rsidR="00501C9B" w:rsidRPr="00140E2E">
        <w:rPr>
          <w:rFonts w:cs="Calibri"/>
          <w:b/>
          <w:bCs/>
        </w:rPr>
        <w:t>oblasti veřejného práva</w:t>
      </w:r>
      <w:r w:rsidR="00501C9B" w:rsidRPr="00607148">
        <w:rPr>
          <w:rFonts w:cs="Calibri"/>
        </w:rPr>
        <w:t>, kde na jedné straně právního vztahu je orgán veřejné moci.</w:t>
      </w:r>
      <w:r w:rsidRPr="00607148">
        <w:rPr>
          <w:rFonts w:cs="Calibri"/>
        </w:rPr>
        <w:t xml:space="preserve"> Stát sice může ve světle judikatury Ústavního soudu nařídit i povinné očkování, bylo by ale nepřiměřené, pokud by například výkon volebního práva či práva na spravedlivý proces vázal na podmínku očkování. </w:t>
      </w:r>
    </w:p>
    <w:p w14:paraId="09E4BB12" w14:textId="4B999C42" w:rsidR="002F402E" w:rsidRPr="00607148" w:rsidRDefault="00A13D08" w:rsidP="00BF1722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607148">
        <w:rPr>
          <w:rFonts w:cs="Calibri"/>
        </w:rPr>
        <w:t xml:space="preserve">Stát má </w:t>
      </w:r>
      <w:r w:rsidR="00717911" w:rsidRPr="00607148">
        <w:rPr>
          <w:rFonts w:cs="Calibri"/>
        </w:rPr>
        <w:t xml:space="preserve">při boji s pandemii </w:t>
      </w:r>
      <w:r w:rsidRPr="00607148">
        <w:rPr>
          <w:rFonts w:cs="Calibri"/>
        </w:rPr>
        <w:t xml:space="preserve">dát přednost takovému řešení, které co nejméně omezuje základní práva a svobody. Jedině tam, kde ani při vynaložení maximálního úsilí není stát schopen zajistit realizaci základních práv a svobod, může stát stanovit za účelem zabránění šíření nákazy podmínky typu očkování či negativního testu. </w:t>
      </w:r>
      <w:r w:rsidRPr="00140E2E">
        <w:rPr>
          <w:rFonts w:cs="Calibri"/>
          <w:b/>
          <w:bCs/>
        </w:rPr>
        <w:t xml:space="preserve">Stanovení podmínek typu očkování či negativního testu má zase </w:t>
      </w:r>
      <w:r w:rsidR="00CD6723" w:rsidRPr="00140E2E">
        <w:rPr>
          <w:rFonts w:cs="Calibri"/>
          <w:b/>
          <w:bCs/>
        </w:rPr>
        <w:t xml:space="preserve">z výše uvedených důvodů </w:t>
      </w:r>
      <w:r w:rsidRPr="00140E2E">
        <w:rPr>
          <w:rFonts w:cs="Calibri"/>
          <w:b/>
          <w:bCs/>
        </w:rPr>
        <w:t>přednost před plošnými zákazy</w:t>
      </w:r>
      <w:r w:rsidRPr="00607148">
        <w:rPr>
          <w:rFonts w:cs="Calibri"/>
        </w:rPr>
        <w:t>.</w:t>
      </w:r>
    </w:p>
    <w:p w14:paraId="682C17A6" w14:textId="18B01FD2" w:rsidR="002F402E" w:rsidRPr="00607148" w:rsidRDefault="00A13D08" w:rsidP="00BF1722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607148">
        <w:rPr>
          <w:rFonts w:cs="Calibri"/>
        </w:rPr>
        <w:t xml:space="preserve">Jakmile </w:t>
      </w:r>
      <w:r w:rsidRPr="00607148">
        <w:t>bude</w:t>
      </w:r>
      <w:r w:rsidR="000275B3" w:rsidRPr="00607148">
        <w:t xml:space="preserve"> s dostatečnou mírou pravděpodobnosti </w:t>
      </w:r>
      <w:r w:rsidR="00717911" w:rsidRPr="00607148">
        <w:t>zřejmé</w:t>
      </w:r>
      <w:r w:rsidRPr="00607148">
        <w:t xml:space="preserve">, že očkované osoby se nemohou nakazit ani nákazu přenášet, není již legitimní důvod na takové osoby uvalovat </w:t>
      </w:r>
      <w:r w:rsidRPr="00140E2E">
        <w:rPr>
          <w:b/>
          <w:bCs/>
        </w:rPr>
        <w:t>karanténu</w:t>
      </w:r>
      <w:r w:rsidRPr="00607148">
        <w:t xml:space="preserve"> v případě styku s nakaženou osobou nebo při návratu z rizikové oblasti. Na tyto osoby by se nemě</w:t>
      </w:r>
      <w:r w:rsidR="00CD6723" w:rsidRPr="00607148">
        <w:t>la</w:t>
      </w:r>
      <w:r w:rsidRPr="00607148">
        <w:t xml:space="preserve"> vztahovat ani </w:t>
      </w:r>
      <w:r w:rsidRPr="00140E2E">
        <w:rPr>
          <w:b/>
          <w:bCs/>
        </w:rPr>
        <w:t>plošná omezení</w:t>
      </w:r>
      <w:r w:rsidRPr="00607148">
        <w:t xml:space="preserve"> typu zákazu volného pohybu či shromažďování. Naproti tomu u některých </w:t>
      </w:r>
      <w:r w:rsidR="0040492E" w:rsidRPr="00607148">
        <w:t xml:space="preserve">drobnějších omezení, jako je povinnost zakrytí nosu a úst v prostředcích veřejné dopravy, lze tuto povinnost zachovat i pro </w:t>
      </w:r>
      <w:r w:rsidR="005A52C9" w:rsidRPr="00607148">
        <w:t>tyto osoby</w:t>
      </w:r>
      <w:r w:rsidR="0040492E" w:rsidRPr="00607148">
        <w:t xml:space="preserve">, </w:t>
      </w:r>
      <w:r w:rsidR="005A52C9" w:rsidRPr="00607148">
        <w:t xml:space="preserve">v zájmu předcházení </w:t>
      </w:r>
      <w:r w:rsidR="0040492E" w:rsidRPr="00607148">
        <w:t xml:space="preserve">nekontrolovatelnému rozvolnění důležitého protiepidemického pravidla. </w:t>
      </w:r>
    </w:p>
    <w:p w14:paraId="2D644B10" w14:textId="5D01582E" w:rsidR="000275B3" w:rsidRPr="00607148" w:rsidRDefault="00A13D08" w:rsidP="00381D2B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607148">
        <w:rPr>
          <w:rFonts w:cs="Calibri"/>
        </w:rPr>
        <w:t xml:space="preserve">Rozlišování mezi očkovanými a neočkovanými je </w:t>
      </w:r>
      <w:r w:rsidR="005A52C9" w:rsidRPr="00607148">
        <w:rPr>
          <w:rFonts w:cs="Calibri"/>
        </w:rPr>
        <w:t xml:space="preserve">právně </w:t>
      </w:r>
      <w:r w:rsidRPr="00607148">
        <w:rPr>
          <w:rFonts w:cs="Calibri"/>
        </w:rPr>
        <w:t xml:space="preserve">možné </w:t>
      </w:r>
      <w:r w:rsidRPr="00140E2E">
        <w:rPr>
          <w:rFonts w:cs="Calibri"/>
          <w:b/>
          <w:bCs/>
        </w:rPr>
        <w:t>i v situaci, kdy vakcína není k dispozici pro</w:t>
      </w:r>
      <w:r w:rsidR="004415CB">
        <w:rPr>
          <w:rFonts w:cs="Calibri"/>
          <w:b/>
          <w:bCs/>
        </w:rPr>
        <w:t> </w:t>
      </w:r>
      <w:r w:rsidRPr="00140E2E">
        <w:rPr>
          <w:rFonts w:cs="Calibri"/>
          <w:b/>
          <w:bCs/>
        </w:rPr>
        <w:t>všechny zájemce</w:t>
      </w:r>
      <w:r w:rsidRPr="00607148">
        <w:rPr>
          <w:rFonts w:cs="Calibri"/>
        </w:rPr>
        <w:t>. Smyslem omezení totiž není trestat ty, kteří se neočkovali, ač mohli, nýbrž výhradně ochrana před</w:t>
      </w:r>
      <w:r w:rsidR="00501C9B" w:rsidRPr="00607148">
        <w:rPr>
          <w:rFonts w:cs="Calibri"/>
        </w:rPr>
        <w:t xml:space="preserve"> </w:t>
      </w:r>
      <w:r w:rsidRPr="00607148">
        <w:rPr>
          <w:rFonts w:cs="Calibri"/>
        </w:rPr>
        <w:t>šířením nakažlivé nemoci</w:t>
      </w:r>
      <w:r w:rsidR="005A52C9" w:rsidRPr="00607148">
        <w:rPr>
          <w:rFonts w:cs="Calibri"/>
        </w:rPr>
        <w:t xml:space="preserve"> a umožnění co možná rychlého, ač částečného uvolnění nouzových opatření pro osoby, u nichž je riziko šíření </w:t>
      </w:r>
      <w:r w:rsidR="00EC72B4" w:rsidRPr="00607148">
        <w:rPr>
          <w:rFonts w:cs="Calibri"/>
        </w:rPr>
        <w:t>prokazatelně nižší.</w:t>
      </w:r>
      <w:r w:rsidRPr="00607148">
        <w:rPr>
          <w:rFonts w:cs="Calibri"/>
        </w:rPr>
        <w:t xml:space="preserve"> </w:t>
      </w:r>
      <w:r w:rsidR="000275B3" w:rsidRPr="00607148">
        <w:rPr>
          <w:rFonts w:cs="Calibri"/>
        </w:rPr>
        <w:t xml:space="preserve">Je třeba si uvědomit, že trvání na stejném zacházení se všemi osobami, bez ohledu na to, zda byly očkovány či nikoli, by bylo trváním na rovnosti </w:t>
      </w:r>
      <w:r w:rsidR="002D55EE">
        <w:rPr>
          <w:rFonts w:cs="Calibri"/>
        </w:rPr>
        <w:t>„</w:t>
      </w:r>
      <w:r w:rsidR="000275B3" w:rsidRPr="00607148">
        <w:rPr>
          <w:rFonts w:cs="Calibri"/>
        </w:rPr>
        <w:t>v</w:t>
      </w:r>
      <w:r w:rsidR="002D55EE">
        <w:rPr>
          <w:rFonts w:cs="Calibri"/>
        </w:rPr>
        <w:t> </w:t>
      </w:r>
      <w:r w:rsidR="000275B3" w:rsidRPr="00607148">
        <w:rPr>
          <w:rFonts w:cs="Calibri"/>
        </w:rPr>
        <w:t>bídě</w:t>
      </w:r>
      <w:r w:rsidR="002D55EE">
        <w:rPr>
          <w:rFonts w:cs="Calibri"/>
        </w:rPr>
        <w:t>“</w:t>
      </w:r>
      <w:r w:rsidR="000275B3" w:rsidRPr="00607148">
        <w:rPr>
          <w:rFonts w:cs="Calibri"/>
        </w:rPr>
        <w:t xml:space="preserve">. To by mělo nemalé negativní dopady na fungování celých sektorů ekonomiky, které by mohly bez rizik fungovat, i když v omezeném rozsahu. </w:t>
      </w:r>
    </w:p>
    <w:p w14:paraId="2BAE06D4" w14:textId="0BF54BFC" w:rsidR="00381D2B" w:rsidRPr="00607148" w:rsidRDefault="00A13D08" w:rsidP="00381D2B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607148">
        <w:rPr>
          <w:rFonts w:cs="Calibri"/>
        </w:rPr>
        <w:t xml:space="preserve">Pokud by </w:t>
      </w:r>
      <w:r w:rsidR="005A52C9" w:rsidRPr="00607148">
        <w:rPr>
          <w:rFonts w:cs="Calibri"/>
        </w:rPr>
        <w:t xml:space="preserve">však </w:t>
      </w:r>
      <w:r w:rsidRPr="00607148">
        <w:rPr>
          <w:rFonts w:cs="Calibri"/>
        </w:rPr>
        <w:t xml:space="preserve">rozlišování mezi očkovanými a neočkovanými mělo trvat po </w:t>
      </w:r>
      <w:r w:rsidR="00DF0665">
        <w:rPr>
          <w:rFonts w:cs="Calibri"/>
        </w:rPr>
        <w:t>delší</w:t>
      </w:r>
      <w:r w:rsidRPr="00607148">
        <w:rPr>
          <w:rFonts w:cs="Calibri"/>
        </w:rPr>
        <w:t xml:space="preserve"> dobu</w:t>
      </w:r>
      <w:r w:rsidR="005A52C9" w:rsidRPr="00607148">
        <w:rPr>
          <w:rFonts w:cs="Calibri"/>
        </w:rPr>
        <w:t xml:space="preserve"> (např. po dobu více měsíců)</w:t>
      </w:r>
      <w:r w:rsidRPr="00607148">
        <w:rPr>
          <w:rFonts w:cs="Calibri"/>
        </w:rPr>
        <w:t xml:space="preserve">, bylo by z důvodu právní jistoty </w:t>
      </w:r>
      <w:r w:rsidR="00DF0665">
        <w:rPr>
          <w:rFonts w:cs="Calibri"/>
        </w:rPr>
        <w:t>vhodné</w:t>
      </w:r>
      <w:r w:rsidR="00DF0665" w:rsidRPr="00607148">
        <w:rPr>
          <w:rFonts w:cs="Calibri"/>
        </w:rPr>
        <w:t xml:space="preserve"> </w:t>
      </w:r>
      <w:r w:rsidRPr="00607148">
        <w:rPr>
          <w:rFonts w:cs="Calibri"/>
        </w:rPr>
        <w:t>některá pravidla uprav</w:t>
      </w:r>
      <w:r w:rsidR="00381D2B" w:rsidRPr="00607148">
        <w:rPr>
          <w:rFonts w:cs="Calibri"/>
        </w:rPr>
        <w:t>it</w:t>
      </w:r>
      <w:r w:rsidRPr="00607148">
        <w:rPr>
          <w:rFonts w:cs="Calibri"/>
        </w:rPr>
        <w:t xml:space="preserve"> zákonem.</w:t>
      </w:r>
      <w:r w:rsidR="005A52C9" w:rsidRPr="00607148">
        <w:rPr>
          <w:rFonts w:cs="Calibri"/>
        </w:rPr>
        <w:t xml:space="preserve"> Podstatné je zároveň přijetí pravidel doprovodit řádným odůvodněním k doložení toho, že k jejich přijetí existují vážné, objektivní a</w:t>
      </w:r>
      <w:r w:rsidR="004415CB">
        <w:rPr>
          <w:rFonts w:cs="Calibri"/>
        </w:rPr>
        <w:t> </w:t>
      </w:r>
      <w:r w:rsidR="005A52C9" w:rsidRPr="00607148">
        <w:rPr>
          <w:rFonts w:cs="Calibri"/>
        </w:rPr>
        <w:t>rozumné důvody.</w:t>
      </w:r>
      <w:r w:rsidRPr="00607148">
        <w:rPr>
          <w:rFonts w:cs="Calibri"/>
        </w:rPr>
        <w:t xml:space="preserve"> </w:t>
      </w:r>
    </w:p>
    <w:p w14:paraId="164D300A" w14:textId="45C9381C" w:rsidR="004636B0" w:rsidRPr="00607148" w:rsidRDefault="004636B0" w:rsidP="00381D2B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607148">
        <w:rPr>
          <w:rFonts w:cs="Calibri"/>
        </w:rPr>
        <w:t>I z důvodů výše uvedených by mělo být prioritou státu zajistit očkování proti COVID-19 v co nejkratším čase všem osobám, které o n</w:t>
      </w:r>
      <w:r w:rsidR="00992FC3">
        <w:rPr>
          <w:rFonts w:cs="Calibri"/>
        </w:rPr>
        <w:t>i</w:t>
      </w:r>
      <w:r w:rsidRPr="00607148">
        <w:rPr>
          <w:rFonts w:cs="Calibri"/>
        </w:rPr>
        <w:t xml:space="preserve"> budou mít zájem.</w:t>
      </w:r>
    </w:p>
    <w:p w14:paraId="3C4608D4" w14:textId="297A1BF5" w:rsidR="004415CB" w:rsidRPr="004415CB" w:rsidRDefault="00A13D08" w:rsidP="000A67E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lang w:eastAsia="cs-CZ"/>
        </w:rPr>
      </w:pPr>
      <w:r w:rsidRPr="004415CB">
        <w:rPr>
          <w:rFonts w:eastAsia="Times New Roman" w:cs="Calibri"/>
          <w:color w:val="000000"/>
          <w:lang w:eastAsia="cs-CZ"/>
        </w:rPr>
        <w:t xml:space="preserve">Členové </w:t>
      </w:r>
      <w:r w:rsidR="00A95D5B" w:rsidRPr="004415CB">
        <w:rPr>
          <w:rFonts w:eastAsia="Times New Roman" w:cs="Calibri"/>
          <w:color w:val="000000"/>
          <w:lang w:eastAsia="cs-CZ"/>
        </w:rPr>
        <w:t xml:space="preserve">názorové </w:t>
      </w:r>
      <w:r w:rsidR="00BA4935" w:rsidRPr="004415CB">
        <w:rPr>
          <w:rFonts w:eastAsia="Times New Roman" w:cs="Calibri"/>
          <w:color w:val="000000"/>
          <w:lang w:eastAsia="cs-CZ"/>
        </w:rPr>
        <w:t xml:space="preserve">platformy </w:t>
      </w:r>
      <w:r w:rsidR="00305BF2" w:rsidRPr="004415CB">
        <w:rPr>
          <w:rFonts w:eastAsia="Times New Roman" w:cs="Calibri"/>
          <w:color w:val="000000"/>
          <w:lang w:eastAsia="cs-CZ"/>
        </w:rPr>
        <w:t>Rozumné práv</w:t>
      </w:r>
      <w:r w:rsidR="00BA4935" w:rsidRPr="004415CB">
        <w:rPr>
          <w:rFonts w:eastAsia="Times New Roman" w:cs="Calibri"/>
          <w:color w:val="000000"/>
          <w:lang w:eastAsia="cs-CZ"/>
        </w:rPr>
        <w:t>o</w:t>
      </w:r>
      <w:r w:rsidR="00305BF2" w:rsidRPr="004415CB">
        <w:rPr>
          <w:rFonts w:eastAsia="Times New Roman" w:cs="Calibri"/>
          <w:color w:val="000000"/>
          <w:lang w:eastAsia="cs-CZ"/>
        </w:rPr>
        <w:t xml:space="preserve"> jsou připraveni poskytnout</w:t>
      </w:r>
      <w:r w:rsidR="00EB6746" w:rsidRPr="004415CB">
        <w:rPr>
          <w:rFonts w:eastAsia="Times New Roman" w:cs="Calibri"/>
          <w:color w:val="000000"/>
          <w:lang w:eastAsia="cs-CZ"/>
        </w:rPr>
        <w:t xml:space="preserve"> veřejným institucím</w:t>
      </w:r>
      <w:r w:rsidRPr="004415CB">
        <w:rPr>
          <w:rFonts w:eastAsia="Times New Roman" w:cs="Calibri"/>
          <w:color w:val="000000"/>
          <w:lang w:eastAsia="cs-CZ"/>
        </w:rPr>
        <w:t xml:space="preserve"> svou součinnost a</w:t>
      </w:r>
      <w:r w:rsidR="004415CB" w:rsidRPr="004415CB">
        <w:rPr>
          <w:rFonts w:eastAsia="Times New Roman" w:cs="Calibri"/>
          <w:color w:val="000000"/>
          <w:lang w:eastAsia="cs-CZ"/>
        </w:rPr>
        <w:t> </w:t>
      </w:r>
      <w:r w:rsidRPr="004415CB">
        <w:rPr>
          <w:rFonts w:eastAsia="Times New Roman" w:cs="Calibri"/>
          <w:color w:val="000000"/>
          <w:lang w:eastAsia="cs-CZ"/>
        </w:rPr>
        <w:t>expertízu</w:t>
      </w:r>
      <w:r w:rsidR="00666C90" w:rsidRPr="004415CB">
        <w:rPr>
          <w:rFonts w:eastAsia="Times New Roman" w:cs="Calibri"/>
          <w:color w:val="000000"/>
          <w:lang w:eastAsia="cs-CZ"/>
        </w:rPr>
        <w:t>.</w:t>
      </w:r>
      <w:r w:rsidR="004415CB" w:rsidRPr="004415CB">
        <w:rPr>
          <w:rFonts w:eastAsia="Times New Roman" w:cs="Calibri"/>
          <w:b/>
          <w:lang w:eastAsia="cs-CZ"/>
        </w:rPr>
        <w:br w:type="page"/>
      </w:r>
    </w:p>
    <w:p w14:paraId="65CD7E50" w14:textId="77777777" w:rsidR="0071573F" w:rsidRPr="00607148" w:rsidRDefault="00A13D08" w:rsidP="00895DAD">
      <w:pPr>
        <w:jc w:val="both"/>
        <w:rPr>
          <w:rFonts w:eastAsia="Times New Roman" w:cs="Calibri"/>
          <w:sz w:val="18"/>
          <w:szCs w:val="18"/>
          <w:lang w:eastAsia="cs-CZ"/>
        </w:rPr>
      </w:pPr>
      <w:r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lastRenderedPageBreak/>
        <w:t xml:space="preserve">Co je </w:t>
      </w:r>
      <w:r w:rsidR="00CE2154"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 xml:space="preserve">názorová </w:t>
      </w:r>
      <w:r w:rsidR="00BA4935"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 xml:space="preserve">platforma </w:t>
      </w:r>
      <w:r w:rsidR="00305BF2"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>Rozumné právo</w:t>
      </w:r>
      <w:r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>?</w:t>
      </w:r>
    </w:p>
    <w:p w14:paraId="17739FFA" w14:textId="77777777" w:rsidR="00895DAD" w:rsidRPr="00607148" w:rsidRDefault="00A13D08" w:rsidP="00895DAD">
      <w:pPr>
        <w:jc w:val="both"/>
      </w:pPr>
      <w:r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>Názorová p</w:t>
      </w:r>
      <w:r w:rsidR="00305BF2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>latforma Rozumné právo</w:t>
      </w:r>
      <w:r w:rsidR="0071573F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 je nezávislá expertní skupina právníků působících v nejrůzně</w:t>
      </w:r>
      <w:r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>jších oborech práva v praxi i v </w:t>
      </w:r>
      <w:r w:rsidR="0071573F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>akademii. Jejím cílem je poskytnout vládě</w:t>
      </w:r>
      <w:r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>,</w:t>
      </w:r>
      <w:r w:rsidR="0071573F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 parlamentu </w:t>
      </w:r>
      <w:r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a dalším veřejným institucím </w:t>
      </w:r>
      <w:r w:rsidR="0071573F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odbornou oponenturu návrhů zákonů a dalších </w:t>
      </w:r>
      <w:r w:rsidR="00CE0F97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regulatorních </w:t>
      </w:r>
      <w:r w:rsidR="0071573F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opatření a zároveň sloužit jako rezervoár </w:t>
      </w:r>
      <w:r w:rsidR="00C6557E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podnětů </w:t>
      </w:r>
      <w:r w:rsidR="0071573F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pro </w:t>
      </w:r>
      <w:r w:rsidR="00CE0F97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jejich racionální </w:t>
      </w:r>
      <w:r w:rsidR="0071573F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implementaci v </w:t>
      </w:r>
      <w:r w:rsidR="00C561BE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tuzemských </w:t>
      </w:r>
      <w:r w:rsidR="0071573F" w:rsidRPr="00607148">
        <w:rPr>
          <w:rFonts w:eastAsia="Times New Roman" w:cs="Calibri"/>
          <w:bCs/>
          <w:color w:val="000000"/>
          <w:sz w:val="18"/>
          <w:szCs w:val="18"/>
          <w:lang w:eastAsia="cs-CZ"/>
        </w:rPr>
        <w:t xml:space="preserve">podmínkách. </w:t>
      </w:r>
      <w:r w:rsidRPr="00607148">
        <w:rPr>
          <w:sz w:val="18"/>
          <w:szCs w:val="18"/>
        </w:rPr>
        <w:t>Platforma Rozumné právo není spojena s žádnou politickou stranou nebo hnutím, obchodní společností nebo jinou institucí a všichni její členové vykonávají svou činnost bez nároku na honorář nebo jinou odměnu. Stanoviska publikovaná na platformě Rozumné právo nejsou stanovisky organizací, v nichž členové názorové platformy působí.</w:t>
      </w:r>
    </w:p>
    <w:p w14:paraId="49CCF64A" w14:textId="537A5DB7" w:rsidR="0071573F" w:rsidRPr="00607148" w:rsidRDefault="00A13D08" w:rsidP="00895DAD">
      <w:pPr>
        <w:jc w:val="both"/>
        <w:rPr>
          <w:rFonts w:eastAsia="Times New Roman" w:cs="Calibri"/>
          <w:sz w:val="18"/>
          <w:szCs w:val="18"/>
          <w:lang w:eastAsia="cs-CZ"/>
        </w:rPr>
      </w:pPr>
      <w:r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 xml:space="preserve">Členové </w:t>
      </w:r>
      <w:r w:rsidR="00C561BE"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 xml:space="preserve">názorové </w:t>
      </w:r>
      <w:r w:rsidR="00BA4935"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 xml:space="preserve">platformy </w:t>
      </w:r>
      <w:r w:rsidR="00305BF2"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>Rozumné práv</w:t>
      </w:r>
      <w:r w:rsidR="00BA4935"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>o</w:t>
      </w:r>
      <w:r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 xml:space="preserve"> k</w:t>
      </w:r>
      <w:r w:rsidR="00381D2B"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> </w:t>
      </w:r>
      <w:r w:rsidR="004636B0"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>10</w:t>
      </w:r>
      <w:r w:rsidR="00381D2B"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>. únoru</w:t>
      </w:r>
      <w:r w:rsidR="008810E1"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 xml:space="preserve"> </w:t>
      </w:r>
      <w:r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>202</w:t>
      </w:r>
      <w:r w:rsidR="00381D2B" w:rsidRPr="00607148">
        <w:rPr>
          <w:rFonts w:eastAsia="Times New Roman" w:cs="Calibri"/>
          <w:b/>
          <w:bCs/>
          <w:color w:val="000000"/>
          <w:sz w:val="18"/>
          <w:szCs w:val="18"/>
          <w:lang w:eastAsia="cs-CZ"/>
        </w:rPr>
        <w:t>1</w:t>
      </w:r>
    </w:p>
    <w:p w14:paraId="4BA19C6D" w14:textId="77777777" w:rsidR="0044644A" w:rsidRPr="00607148" w:rsidRDefault="00A13D08" w:rsidP="00895DAD">
      <w:pPr>
        <w:numPr>
          <w:ilvl w:val="0"/>
          <w:numId w:val="3"/>
        </w:numPr>
        <w:spacing w:after="0"/>
        <w:jc w:val="both"/>
        <w:rPr>
          <w:rFonts w:eastAsia="Times New Roman" w:cs="Calibri"/>
          <w:sz w:val="18"/>
          <w:szCs w:val="18"/>
          <w:lang w:eastAsia="cs-CZ"/>
        </w:rPr>
      </w:pPr>
      <w:r w:rsidRPr="00607148">
        <w:rPr>
          <w:rFonts w:eastAsia="Times New Roman" w:cs="Calibri"/>
          <w:sz w:val="18"/>
          <w:szCs w:val="18"/>
          <w:lang w:eastAsia="cs-CZ"/>
        </w:rPr>
        <w:t>Václav Bílý, finanční práv</w:t>
      </w:r>
      <w:r w:rsidR="00956140" w:rsidRPr="00607148">
        <w:rPr>
          <w:rFonts w:eastAsia="Times New Roman" w:cs="Calibri"/>
          <w:sz w:val="18"/>
          <w:szCs w:val="18"/>
          <w:lang w:eastAsia="cs-CZ"/>
        </w:rPr>
        <w:t>o</w:t>
      </w:r>
    </w:p>
    <w:p w14:paraId="11FAD66B" w14:textId="77777777" w:rsidR="0044644A" w:rsidRPr="00607148" w:rsidRDefault="00A13D08" w:rsidP="00895DAD">
      <w:pPr>
        <w:numPr>
          <w:ilvl w:val="0"/>
          <w:numId w:val="3"/>
        </w:numPr>
        <w:spacing w:after="0"/>
        <w:jc w:val="both"/>
        <w:rPr>
          <w:rFonts w:eastAsia="Times New Roman" w:cs="Calibri"/>
          <w:sz w:val="18"/>
          <w:szCs w:val="18"/>
          <w:lang w:eastAsia="cs-CZ"/>
        </w:rPr>
      </w:pPr>
      <w:r w:rsidRPr="00607148">
        <w:rPr>
          <w:rFonts w:eastAsia="Times New Roman" w:cs="Calibri"/>
          <w:sz w:val="18"/>
          <w:szCs w:val="18"/>
          <w:lang w:eastAsia="cs-CZ"/>
        </w:rPr>
        <w:t>Marie Brejchová, prezidentka Unie podnikových právníků</w:t>
      </w:r>
    </w:p>
    <w:p w14:paraId="5F009206" w14:textId="77777777" w:rsidR="0071573F" w:rsidRPr="00607148" w:rsidRDefault="00A13D08" w:rsidP="00895DAD">
      <w:pPr>
        <w:numPr>
          <w:ilvl w:val="0"/>
          <w:numId w:val="3"/>
        </w:numPr>
        <w:spacing w:after="0"/>
        <w:jc w:val="both"/>
        <w:rPr>
          <w:rFonts w:eastAsia="Times New Roman" w:cs="Calibri"/>
          <w:sz w:val="18"/>
          <w:szCs w:val="18"/>
          <w:lang w:eastAsia="cs-CZ"/>
        </w:rPr>
      </w:pPr>
      <w:r w:rsidRPr="00607148">
        <w:rPr>
          <w:rFonts w:eastAsia="Times New Roman" w:cs="Calibri"/>
          <w:sz w:val="18"/>
          <w:szCs w:val="18"/>
          <w:lang w:eastAsia="cs-CZ"/>
        </w:rPr>
        <w:t xml:space="preserve">Petr Bříza, </w:t>
      </w:r>
      <w:r w:rsidR="0044644A" w:rsidRPr="00607148">
        <w:rPr>
          <w:rFonts w:eastAsia="Times New Roman" w:cs="Calibri"/>
          <w:sz w:val="18"/>
          <w:szCs w:val="18"/>
          <w:lang w:eastAsia="cs-CZ"/>
        </w:rPr>
        <w:t>mezinárodní práv</w:t>
      </w:r>
      <w:r w:rsidR="00956140" w:rsidRPr="00607148">
        <w:rPr>
          <w:rFonts w:eastAsia="Times New Roman" w:cs="Calibri"/>
          <w:sz w:val="18"/>
          <w:szCs w:val="18"/>
          <w:lang w:eastAsia="cs-CZ"/>
        </w:rPr>
        <w:t>o</w:t>
      </w:r>
      <w:r w:rsidR="0044644A" w:rsidRPr="00607148">
        <w:rPr>
          <w:rFonts w:eastAsia="Times New Roman" w:cs="Calibri"/>
          <w:sz w:val="18"/>
          <w:szCs w:val="18"/>
          <w:lang w:eastAsia="cs-CZ"/>
        </w:rPr>
        <w:t xml:space="preserve"> soukrom</w:t>
      </w:r>
      <w:r w:rsidR="00956140" w:rsidRPr="00607148">
        <w:rPr>
          <w:rFonts w:eastAsia="Times New Roman" w:cs="Calibri"/>
          <w:sz w:val="18"/>
          <w:szCs w:val="18"/>
          <w:lang w:eastAsia="cs-CZ"/>
        </w:rPr>
        <w:t>é</w:t>
      </w:r>
    </w:p>
    <w:p w14:paraId="33EED123" w14:textId="77777777" w:rsidR="0044644A" w:rsidRPr="00607148" w:rsidRDefault="00A13D08" w:rsidP="00895DAD">
      <w:pPr>
        <w:numPr>
          <w:ilvl w:val="0"/>
          <w:numId w:val="3"/>
        </w:numPr>
        <w:spacing w:after="0"/>
        <w:jc w:val="both"/>
        <w:rPr>
          <w:rFonts w:eastAsia="Times New Roman" w:cs="Calibri"/>
          <w:sz w:val="18"/>
          <w:szCs w:val="18"/>
          <w:lang w:eastAsia="cs-CZ"/>
        </w:rPr>
      </w:pPr>
      <w:r w:rsidRPr="00607148">
        <w:rPr>
          <w:rFonts w:eastAsia="Times New Roman" w:cs="Calibri"/>
          <w:sz w:val="18"/>
          <w:szCs w:val="18"/>
          <w:lang w:eastAsia="cs-CZ"/>
        </w:rPr>
        <w:t>Hana Gawlasová, pracovní práv</w:t>
      </w:r>
      <w:r w:rsidR="00956140" w:rsidRPr="00607148">
        <w:rPr>
          <w:rFonts w:eastAsia="Times New Roman" w:cs="Calibri"/>
          <w:sz w:val="18"/>
          <w:szCs w:val="18"/>
          <w:lang w:eastAsia="cs-CZ"/>
        </w:rPr>
        <w:t>o</w:t>
      </w:r>
      <w:r w:rsidRPr="00607148">
        <w:rPr>
          <w:rFonts w:eastAsia="Times New Roman" w:cs="Calibri"/>
          <w:sz w:val="18"/>
          <w:szCs w:val="18"/>
          <w:lang w:eastAsia="cs-CZ"/>
        </w:rPr>
        <w:t xml:space="preserve"> a </w:t>
      </w:r>
      <w:r w:rsidR="001B2CE1" w:rsidRPr="00607148">
        <w:rPr>
          <w:rFonts w:eastAsia="Times New Roman" w:cs="Calibri"/>
          <w:sz w:val="18"/>
          <w:szCs w:val="18"/>
          <w:lang w:eastAsia="cs-CZ"/>
        </w:rPr>
        <w:t>právo elektronických komunikací</w:t>
      </w:r>
    </w:p>
    <w:p w14:paraId="6BDA0733" w14:textId="77777777" w:rsidR="0044644A" w:rsidRPr="00607148" w:rsidRDefault="00A13D08" w:rsidP="00895DAD">
      <w:pPr>
        <w:numPr>
          <w:ilvl w:val="0"/>
          <w:numId w:val="3"/>
        </w:numPr>
        <w:spacing w:after="0"/>
        <w:jc w:val="both"/>
        <w:rPr>
          <w:rFonts w:eastAsia="Times New Roman" w:cs="Calibri"/>
          <w:sz w:val="18"/>
          <w:szCs w:val="18"/>
          <w:lang w:eastAsia="cs-CZ"/>
        </w:rPr>
      </w:pPr>
      <w:r w:rsidRPr="00607148">
        <w:rPr>
          <w:rFonts w:eastAsia="Times New Roman" w:cs="Calibri"/>
          <w:sz w:val="18"/>
          <w:szCs w:val="18"/>
          <w:lang w:eastAsia="cs-CZ"/>
        </w:rPr>
        <w:t>Tomáš Gřivna, trestní právo</w:t>
      </w:r>
    </w:p>
    <w:p w14:paraId="2653276A" w14:textId="77777777" w:rsidR="0044644A" w:rsidRPr="00607148" w:rsidRDefault="00A13D08" w:rsidP="00895DAD">
      <w:pPr>
        <w:numPr>
          <w:ilvl w:val="0"/>
          <w:numId w:val="3"/>
        </w:numPr>
        <w:spacing w:after="0"/>
        <w:jc w:val="both"/>
        <w:rPr>
          <w:rFonts w:eastAsia="Times New Roman" w:cs="Calibri"/>
          <w:sz w:val="18"/>
          <w:szCs w:val="18"/>
          <w:lang w:eastAsia="cs-CZ"/>
        </w:rPr>
      </w:pPr>
      <w:r w:rsidRPr="00607148">
        <w:rPr>
          <w:rFonts w:eastAsia="Times New Roman" w:cs="Calibri"/>
          <w:sz w:val="18"/>
          <w:szCs w:val="18"/>
          <w:lang w:eastAsia="cs-CZ"/>
        </w:rPr>
        <w:t>Adéla Havlová, právo veřejných zakázek</w:t>
      </w:r>
    </w:p>
    <w:p w14:paraId="4A5F2BD6" w14:textId="77777777" w:rsidR="0044644A" w:rsidRPr="00607148" w:rsidRDefault="00A13D08" w:rsidP="00895DAD">
      <w:pPr>
        <w:numPr>
          <w:ilvl w:val="0"/>
          <w:numId w:val="3"/>
        </w:numPr>
        <w:spacing w:after="0"/>
        <w:jc w:val="both"/>
        <w:rPr>
          <w:rFonts w:eastAsia="Times New Roman" w:cs="Calibri"/>
          <w:sz w:val="18"/>
          <w:szCs w:val="18"/>
          <w:lang w:eastAsia="cs-CZ"/>
        </w:rPr>
      </w:pPr>
      <w:r w:rsidRPr="00607148">
        <w:rPr>
          <w:rFonts w:eastAsia="Times New Roman" w:cs="Calibri"/>
          <w:sz w:val="18"/>
          <w:szCs w:val="18"/>
          <w:lang w:eastAsia="cs-CZ"/>
        </w:rPr>
        <w:t>Robert Neruda, právo</w:t>
      </w:r>
      <w:r w:rsidR="00956140" w:rsidRPr="00607148">
        <w:rPr>
          <w:rFonts w:eastAsia="Times New Roman" w:cs="Calibri"/>
          <w:sz w:val="18"/>
          <w:szCs w:val="18"/>
          <w:lang w:eastAsia="cs-CZ"/>
        </w:rPr>
        <w:t xml:space="preserve"> hospodářské soutěže</w:t>
      </w:r>
    </w:p>
    <w:p w14:paraId="40217BBF" w14:textId="77777777" w:rsidR="0044644A" w:rsidRPr="00607148" w:rsidRDefault="00A13D08" w:rsidP="00895DAD">
      <w:pPr>
        <w:numPr>
          <w:ilvl w:val="0"/>
          <w:numId w:val="3"/>
        </w:numPr>
        <w:spacing w:after="0"/>
        <w:jc w:val="both"/>
        <w:rPr>
          <w:rFonts w:eastAsia="Times New Roman" w:cs="Calibri"/>
          <w:sz w:val="18"/>
          <w:szCs w:val="18"/>
          <w:lang w:eastAsia="cs-CZ"/>
        </w:rPr>
      </w:pPr>
      <w:r w:rsidRPr="00607148">
        <w:rPr>
          <w:rFonts w:eastAsia="Times New Roman" w:cs="Calibri"/>
          <w:sz w:val="18"/>
          <w:szCs w:val="18"/>
          <w:lang w:eastAsia="cs-CZ"/>
        </w:rPr>
        <w:t>Petra Nováková, daňové právo</w:t>
      </w:r>
    </w:p>
    <w:p w14:paraId="5F952168" w14:textId="77777777" w:rsidR="0044644A" w:rsidRPr="00607148" w:rsidRDefault="00A13D08" w:rsidP="00895DAD">
      <w:pPr>
        <w:numPr>
          <w:ilvl w:val="0"/>
          <w:numId w:val="3"/>
        </w:numPr>
        <w:spacing w:after="0"/>
        <w:jc w:val="both"/>
        <w:rPr>
          <w:rFonts w:eastAsia="Times New Roman" w:cs="Calibri"/>
          <w:sz w:val="18"/>
          <w:szCs w:val="18"/>
          <w:lang w:eastAsia="cs-CZ"/>
        </w:rPr>
      </w:pPr>
      <w:r w:rsidRPr="00607148">
        <w:rPr>
          <w:rFonts w:eastAsia="Times New Roman" w:cs="Calibri"/>
          <w:sz w:val="18"/>
          <w:szCs w:val="18"/>
          <w:lang w:eastAsia="cs-CZ"/>
        </w:rPr>
        <w:t>Tomáš Richter, insolvenční právo</w:t>
      </w:r>
    </w:p>
    <w:p w14:paraId="6F31D26E" w14:textId="77777777" w:rsidR="002E1538" w:rsidRPr="00607148" w:rsidRDefault="00A13D08" w:rsidP="00895DAD">
      <w:pPr>
        <w:numPr>
          <w:ilvl w:val="0"/>
          <w:numId w:val="3"/>
        </w:numPr>
        <w:spacing w:after="0"/>
        <w:jc w:val="both"/>
        <w:rPr>
          <w:rFonts w:eastAsia="Times New Roman" w:cs="Calibri"/>
          <w:sz w:val="18"/>
          <w:szCs w:val="18"/>
          <w:lang w:eastAsia="cs-CZ"/>
        </w:rPr>
      </w:pPr>
      <w:r w:rsidRPr="00607148">
        <w:rPr>
          <w:rFonts w:eastAsia="Times New Roman" w:cs="Calibri"/>
          <w:sz w:val="18"/>
          <w:szCs w:val="18"/>
          <w:lang w:eastAsia="cs-CZ"/>
        </w:rPr>
        <w:t>Ondřej Trubač, daňové právo</w:t>
      </w:r>
    </w:p>
    <w:p w14:paraId="6562AD49" w14:textId="77777777" w:rsidR="00601A10" w:rsidRPr="00607148" w:rsidRDefault="00A13D08" w:rsidP="00895DAD">
      <w:pPr>
        <w:numPr>
          <w:ilvl w:val="0"/>
          <w:numId w:val="3"/>
        </w:numPr>
        <w:spacing w:after="0"/>
        <w:jc w:val="both"/>
        <w:rPr>
          <w:rFonts w:eastAsia="Times New Roman" w:cs="Calibri"/>
          <w:sz w:val="18"/>
          <w:szCs w:val="18"/>
          <w:lang w:eastAsia="cs-CZ"/>
        </w:rPr>
      </w:pPr>
      <w:r w:rsidRPr="00607148">
        <w:rPr>
          <w:rFonts w:eastAsia="Times New Roman" w:cs="Calibri"/>
          <w:sz w:val="18"/>
          <w:szCs w:val="18"/>
          <w:lang w:eastAsia="cs-CZ"/>
        </w:rPr>
        <w:t>Jan Wintr, ústavní právo</w:t>
      </w:r>
    </w:p>
    <w:p w14:paraId="159EB5F2" w14:textId="77777777" w:rsidR="00895DAD" w:rsidRPr="00607148" w:rsidRDefault="00895DAD" w:rsidP="00895DAD">
      <w:pPr>
        <w:jc w:val="both"/>
        <w:rPr>
          <w:rFonts w:eastAsia="Times New Roman" w:cs="Calibri"/>
          <w:color w:val="000000"/>
          <w:sz w:val="18"/>
          <w:szCs w:val="18"/>
          <w:lang w:eastAsia="cs-CZ"/>
        </w:rPr>
      </w:pPr>
    </w:p>
    <w:p w14:paraId="04B6B206" w14:textId="77777777" w:rsidR="00697F36" w:rsidRPr="00607148" w:rsidRDefault="00A13D08" w:rsidP="00697F36">
      <w:pPr>
        <w:contextualSpacing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607148">
        <w:rPr>
          <w:rFonts w:asciiTheme="minorHAnsi" w:eastAsia="Times New Roman" w:hAnsiTheme="minorHAnsi" w:cstheme="minorHAnsi"/>
          <w:color w:val="000000"/>
          <w:sz w:val="18"/>
          <w:szCs w:val="18"/>
        </w:rPr>
        <w:t>K řešení dílčích otázek mohou být přizváni další odborníci z různých, i neprávních oblastí.</w:t>
      </w:r>
    </w:p>
    <w:p w14:paraId="6FD850FD" w14:textId="77777777" w:rsidR="00697F36" w:rsidRPr="00607148" w:rsidRDefault="00697F36" w:rsidP="00697F36">
      <w:pPr>
        <w:contextualSpacing/>
        <w:rPr>
          <w:rFonts w:asciiTheme="minorHAnsi" w:eastAsia="Times New Roman" w:hAnsiTheme="minorHAnsi" w:cstheme="minorHAnsi"/>
          <w:sz w:val="18"/>
          <w:szCs w:val="18"/>
        </w:rPr>
      </w:pPr>
    </w:p>
    <w:p w14:paraId="58A7FEAF" w14:textId="77777777" w:rsidR="00697F36" w:rsidRPr="00607148" w:rsidRDefault="00697F36" w:rsidP="00697F36">
      <w:pPr>
        <w:contextualSpacing/>
        <w:rPr>
          <w:rFonts w:asciiTheme="minorHAnsi" w:eastAsia="Times New Roman" w:hAnsiTheme="minorHAnsi" w:cstheme="minorHAnsi"/>
          <w:sz w:val="18"/>
          <w:szCs w:val="18"/>
        </w:rPr>
      </w:pPr>
    </w:p>
    <w:p w14:paraId="3FE25452" w14:textId="77777777" w:rsidR="00697F36" w:rsidRPr="00607148" w:rsidRDefault="00A13D08" w:rsidP="00697F36">
      <w:pPr>
        <w:spacing w:after="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Web:</w:t>
      </w: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hyperlink r:id="rId8" w:history="1">
        <w:r w:rsidRPr="00607148">
          <w:rPr>
            <w:rStyle w:val="Hypertextovodkaz"/>
            <w:rFonts w:asciiTheme="minorHAnsi" w:eastAsia="Times New Roman" w:hAnsiTheme="minorHAnsi" w:cstheme="minorHAnsi"/>
            <w:sz w:val="18"/>
            <w:szCs w:val="18"/>
          </w:rPr>
          <w:t>www.rozumnepravo.cz</w:t>
        </w:r>
      </w:hyperlink>
    </w:p>
    <w:p w14:paraId="68C991F9" w14:textId="77777777" w:rsidR="00697F36" w:rsidRPr="00607148" w:rsidRDefault="00A13D08" w:rsidP="00697F36">
      <w:pPr>
        <w:spacing w:after="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LinkedIn:</w:t>
      </w: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hyperlink r:id="rId9" w:history="1">
        <w:r w:rsidRPr="00607148">
          <w:rPr>
            <w:rStyle w:val="Hypertextovodkaz"/>
            <w:rFonts w:asciiTheme="minorHAnsi" w:eastAsia="Times New Roman" w:hAnsiTheme="minorHAnsi" w:cstheme="minorHAnsi"/>
            <w:bCs/>
            <w:sz w:val="18"/>
            <w:szCs w:val="18"/>
          </w:rPr>
          <w:t>Rozumné právo</w:t>
        </w:r>
      </w:hyperlink>
    </w:p>
    <w:p w14:paraId="17F1E28A" w14:textId="77777777" w:rsidR="00697F36" w:rsidRPr="00607148" w:rsidRDefault="00A13D08" w:rsidP="00697F36">
      <w:pPr>
        <w:spacing w:after="0"/>
        <w:rPr>
          <w:rStyle w:val="Hypertextovodkaz"/>
        </w:rPr>
      </w:pP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Twitter:</w:t>
      </w: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ab/>
      </w:r>
      <w:hyperlink r:id="rId10" w:history="1">
        <w:r w:rsidRPr="00607148">
          <w:rPr>
            <w:rStyle w:val="Hypertextovodkaz"/>
            <w:rFonts w:asciiTheme="minorHAnsi" w:eastAsia="Times New Roman" w:hAnsiTheme="minorHAnsi" w:cstheme="minorHAnsi"/>
            <w:sz w:val="18"/>
            <w:szCs w:val="18"/>
          </w:rPr>
          <w:t>@RozumneP</w:t>
        </w:r>
      </w:hyperlink>
    </w:p>
    <w:p w14:paraId="358C7CE2" w14:textId="2E77B066" w:rsidR="00697F36" w:rsidRPr="0065008A" w:rsidRDefault="00A13D08" w:rsidP="00697F36">
      <w:pPr>
        <w:spacing w:after="0"/>
        <w:rPr>
          <w:rFonts w:asciiTheme="minorHAnsi" w:hAnsiTheme="minorHAnsi" w:cstheme="minorHAnsi"/>
          <w:b/>
        </w:rPr>
      </w:pPr>
      <w:r w:rsidRPr="00607148"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  <w:t>Kontakt pro média:</w:t>
      </w:r>
      <w:r w:rsidRPr="00607148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</w:t>
      </w:r>
      <w:r w:rsidRPr="00607148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Jakub Kocmánek, </w:t>
      </w:r>
      <w:r w:rsidRPr="00607148">
        <w:rPr>
          <w:rFonts w:asciiTheme="minorHAnsi" w:eastAsia="Times New Roman" w:hAnsiTheme="minorHAnsi" w:cstheme="minorHAnsi"/>
          <w:bCs/>
          <w:sz w:val="18"/>
          <w:szCs w:val="18"/>
        </w:rPr>
        <w:t xml:space="preserve">tajemník, </w:t>
      </w:r>
      <w:hyperlink r:id="rId11" w:history="1">
        <w:r w:rsidRPr="00607148">
          <w:rPr>
            <w:rStyle w:val="Hypertextovodkaz"/>
            <w:rFonts w:asciiTheme="minorHAnsi" w:eastAsia="Times New Roman" w:hAnsiTheme="minorHAnsi" w:cstheme="minorHAnsi"/>
            <w:sz w:val="18"/>
            <w:szCs w:val="18"/>
          </w:rPr>
          <w:t>tajemnik@rozumnepravo.cz</w:t>
        </w:r>
      </w:hyperlink>
    </w:p>
    <w:p w14:paraId="699FBF25" w14:textId="77777777" w:rsidR="000E2639" w:rsidRPr="001B2CE1" w:rsidRDefault="000E2639" w:rsidP="00697F36">
      <w:pPr>
        <w:jc w:val="both"/>
        <w:rPr>
          <w:rFonts w:eastAsia="Times New Roman" w:cs="Calibri"/>
          <w:bCs/>
          <w:sz w:val="18"/>
          <w:szCs w:val="18"/>
          <w:lang w:eastAsia="cs-CZ"/>
        </w:rPr>
      </w:pPr>
    </w:p>
    <w:sectPr w:rsidR="000E2639" w:rsidRPr="001B2CE1" w:rsidSect="001B325F">
      <w:headerReference w:type="default" r:id="rId12"/>
      <w:footerReference w:type="default" r:id="rId13"/>
      <w:pgSz w:w="11906" w:h="16838"/>
      <w:pgMar w:top="128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132BD" w14:textId="77777777" w:rsidR="006B11CF" w:rsidRDefault="006B11CF">
      <w:pPr>
        <w:spacing w:after="0" w:line="240" w:lineRule="auto"/>
      </w:pPr>
      <w:r>
        <w:separator/>
      </w:r>
    </w:p>
  </w:endnote>
  <w:endnote w:type="continuationSeparator" w:id="0">
    <w:p w14:paraId="1C4131F7" w14:textId="77777777" w:rsidR="006B11CF" w:rsidRDefault="006B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BA3E1" w14:textId="326FED5C" w:rsidR="007E67C8" w:rsidRDefault="00A13D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6E10">
      <w:rPr>
        <w:noProof/>
      </w:rPr>
      <w:t>1</w:t>
    </w:r>
    <w:r>
      <w:rPr>
        <w:noProof/>
      </w:rPr>
      <w:fldChar w:fldCharType="end"/>
    </w:r>
  </w:p>
  <w:p w14:paraId="6C9ABB16" w14:textId="77777777" w:rsidR="0004414D" w:rsidRPr="00D0543C" w:rsidRDefault="006B11CF" w:rsidP="007D4C25">
    <w:pPr>
      <w:pStyle w:val="Zpat"/>
      <w:jc w:val="center"/>
      <w:rPr>
        <w:color w:val="1D475C"/>
      </w:rPr>
    </w:pPr>
    <w:hyperlink r:id="rId1" w:history="1">
      <w:r w:rsidR="00697F36">
        <w:rPr>
          <w:rStyle w:val="Hypertextovodkaz"/>
          <w:color w:val="1D475C"/>
        </w:rPr>
        <w:t>www.rozumnepravo.cz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83BA4" w14:textId="77777777" w:rsidR="006B11CF" w:rsidRDefault="006B11CF" w:rsidP="006F0DAB">
      <w:pPr>
        <w:spacing w:after="0" w:line="240" w:lineRule="auto"/>
      </w:pPr>
      <w:r>
        <w:separator/>
      </w:r>
    </w:p>
  </w:footnote>
  <w:footnote w:type="continuationSeparator" w:id="0">
    <w:p w14:paraId="4C0D5176" w14:textId="77777777" w:rsidR="006B11CF" w:rsidRDefault="006B11CF" w:rsidP="006F0DAB">
      <w:pPr>
        <w:spacing w:after="0" w:line="240" w:lineRule="auto"/>
      </w:pPr>
      <w:r>
        <w:continuationSeparator/>
      </w:r>
    </w:p>
  </w:footnote>
  <w:footnote w:id="1">
    <w:p w14:paraId="152693EF" w14:textId="3CFAF99D" w:rsidR="002C1C05" w:rsidRDefault="002C1C05" w:rsidP="004415CB">
      <w:pPr>
        <w:pStyle w:val="Textpoznpodarou"/>
        <w:spacing w:after="12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Po</w:t>
      </w:r>
      <w:r w:rsidRPr="00032AC0">
        <w:rPr>
          <w:rFonts w:asciiTheme="minorHAnsi" w:hAnsiTheme="minorHAnsi" w:cstheme="minorHAnsi"/>
        </w:rPr>
        <w:t xml:space="preserve">dle </w:t>
      </w:r>
      <w:r>
        <w:rPr>
          <w:rFonts w:asciiTheme="minorHAnsi" w:hAnsiTheme="minorHAnsi" w:cstheme="minorHAnsi"/>
        </w:rPr>
        <w:t xml:space="preserve">§ 46 odst. 1 </w:t>
      </w:r>
      <w:r w:rsidRPr="00032AC0">
        <w:rPr>
          <w:rFonts w:asciiTheme="minorHAnsi" w:hAnsiTheme="minorHAnsi" w:cstheme="minorHAnsi"/>
        </w:rPr>
        <w:t>zákona o ochraně veřejného zdraví jsou lidé s trvalým pobytem v ČR „povinni podrobit se stanovenému druhu pravidelného očkování“</w:t>
      </w:r>
      <w:r>
        <w:rPr>
          <w:rFonts w:asciiTheme="minorHAnsi" w:hAnsiTheme="minorHAnsi" w:cstheme="minorHAnsi"/>
        </w:rPr>
        <w:t xml:space="preserve">, sankce za nedodržení této povinnosti je </w:t>
      </w:r>
      <w:r w:rsidRPr="00032AC0">
        <w:rPr>
          <w:rFonts w:asciiTheme="minorHAnsi" w:hAnsiTheme="minorHAnsi" w:cstheme="minorHAnsi"/>
        </w:rPr>
        <w:t>pokuta do 10 000 Kč (§ 92k odst. 6 a 7)</w:t>
      </w:r>
      <w:r w:rsidR="00DC3FB8">
        <w:rPr>
          <w:rFonts w:asciiTheme="minorHAnsi" w:hAnsiTheme="minorHAnsi" w:cstheme="minorHAnsi"/>
        </w:rPr>
        <w:t>.</w:t>
      </w:r>
    </w:p>
  </w:footnote>
  <w:footnote w:id="2">
    <w:p w14:paraId="65BD7EF5" w14:textId="6D43B4D2" w:rsidR="00DC3FB8" w:rsidRDefault="00DC3FB8" w:rsidP="004415CB">
      <w:pPr>
        <w:pStyle w:val="Textpoznpodarou"/>
        <w:spacing w:after="120" w:line="240" w:lineRule="auto"/>
        <w:jc w:val="both"/>
      </w:pPr>
      <w:r>
        <w:rPr>
          <w:rStyle w:val="Znakapoznpodarou"/>
        </w:rPr>
        <w:footnoteRef/>
      </w:r>
      <w:r>
        <w:t xml:space="preserve"> Dle § 50 </w:t>
      </w:r>
      <w:r w:rsidRPr="00032AC0">
        <w:rPr>
          <w:rFonts w:asciiTheme="minorHAnsi" w:hAnsiTheme="minorHAnsi" w:cstheme="minorHAnsi"/>
        </w:rPr>
        <w:t>zákona o ochraně veřejného zdraví</w:t>
      </w:r>
      <w:r w:rsidR="00E94EFC">
        <w:rPr>
          <w:rFonts w:asciiTheme="minorHAnsi" w:hAnsiTheme="minorHAnsi" w:cstheme="minorHAnsi"/>
        </w:rPr>
        <w:t>.</w:t>
      </w:r>
    </w:p>
  </w:footnote>
  <w:footnote w:id="3">
    <w:p w14:paraId="6F977406" w14:textId="4BCC1332" w:rsidR="00DC3FB8" w:rsidRDefault="00DC3FB8" w:rsidP="004415CB">
      <w:pPr>
        <w:pStyle w:val="Textpoznpodarou"/>
        <w:spacing w:after="12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032AC0">
        <w:rPr>
          <w:rFonts w:asciiTheme="minorHAnsi" w:hAnsiTheme="minorHAnsi" w:cstheme="minorHAnsi"/>
        </w:rPr>
        <w:t>ález Pl. ÚS 19/14</w:t>
      </w:r>
      <w:r>
        <w:rPr>
          <w:rFonts w:asciiTheme="minorHAnsi" w:hAnsiTheme="minorHAnsi" w:cstheme="minorHAnsi"/>
        </w:rPr>
        <w:t>.</w:t>
      </w:r>
    </w:p>
  </w:footnote>
  <w:footnote w:id="4">
    <w:p w14:paraId="554CAD0D" w14:textId="179F53AA" w:rsidR="00DC3FB8" w:rsidRDefault="00DC3FB8" w:rsidP="004415CB">
      <w:pPr>
        <w:pStyle w:val="Textpoznpodarou"/>
        <w:spacing w:after="120" w:line="240" w:lineRule="auto"/>
        <w:jc w:val="both"/>
      </w:pPr>
      <w:r>
        <w:rPr>
          <w:rStyle w:val="Znakapoznpodarou"/>
        </w:rPr>
        <w:footnoteRef/>
      </w:r>
      <w:r>
        <w:t xml:space="preserve"> N</w:t>
      </w:r>
      <w:r w:rsidRPr="00032AC0">
        <w:rPr>
          <w:rFonts w:asciiTheme="minorHAnsi" w:hAnsiTheme="minorHAnsi" w:cstheme="minorHAnsi"/>
        </w:rPr>
        <w:t>ález Pl. ÚS 16/14.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FAED" w14:textId="77777777" w:rsidR="0004414D" w:rsidRDefault="00A13D08" w:rsidP="007D4C25">
    <w:pPr>
      <w:pStyle w:val="Zhlav"/>
      <w:jc w:val="center"/>
    </w:pPr>
    <w:r>
      <w:rPr>
        <w:noProof/>
        <w:lang w:val="en-US"/>
      </w:rPr>
      <w:drawing>
        <wp:inline distT="0" distB="0" distL="0" distR="0" wp14:anchorId="3102A6F9" wp14:editId="4DCC60FE">
          <wp:extent cx="4286250" cy="952500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wor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2919"/>
    <w:multiLevelType w:val="hybridMultilevel"/>
    <w:tmpl w:val="99F02FB2"/>
    <w:lvl w:ilvl="0" w:tplc="DB92EA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E6F6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5846F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4432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AA05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465B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2CEE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48F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4A5A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71A06"/>
    <w:multiLevelType w:val="hybridMultilevel"/>
    <w:tmpl w:val="F4585CAA"/>
    <w:lvl w:ilvl="0" w:tplc="35E27B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03616"/>
    <w:multiLevelType w:val="hybridMultilevel"/>
    <w:tmpl w:val="041CFA8E"/>
    <w:lvl w:ilvl="0" w:tplc="E20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7AD81A" w:tentative="1">
      <w:start w:val="1"/>
      <w:numFmt w:val="lowerLetter"/>
      <w:lvlText w:val="%2."/>
      <w:lvlJc w:val="left"/>
      <w:pPr>
        <w:ind w:left="1440" w:hanging="360"/>
      </w:pPr>
    </w:lvl>
    <w:lvl w:ilvl="2" w:tplc="D946EC4A" w:tentative="1">
      <w:start w:val="1"/>
      <w:numFmt w:val="lowerRoman"/>
      <w:lvlText w:val="%3."/>
      <w:lvlJc w:val="right"/>
      <w:pPr>
        <w:ind w:left="2160" w:hanging="180"/>
      </w:pPr>
    </w:lvl>
    <w:lvl w:ilvl="3" w:tplc="5E323740" w:tentative="1">
      <w:start w:val="1"/>
      <w:numFmt w:val="decimal"/>
      <w:lvlText w:val="%4."/>
      <w:lvlJc w:val="left"/>
      <w:pPr>
        <w:ind w:left="2880" w:hanging="360"/>
      </w:pPr>
    </w:lvl>
    <w:lvl w:ilvl="4" w:tplc="E27896CC" w:tentative="1">
      <w:start w:val="1"/>
      <w:numFmt w:val="lowerLetter"/>
      <w:lvlText w:val="%5."/>
      <w:lvlJc w:val="left"/>
      <w:pPr>
        <w:ind w:left="3600" w:hanging="360"/>
      </w:pPr>
    </w:lvl>
    <w:lvl w:ilvl="5" w:tplc="A9A225BC" w:tentative="1">
      <w:start w:val="1"/>
      <w:numFmt w:val="lowerRoman"/>
      <w:lvlText w:val="%6."/>
      <w:lvlJc w:val="right"/>
      <w:pPr>
        <w:ind w:left="4320" w:hanging="180"/>
      </w:pPr>
    </w:lvl>
    <w:lvl w:ilvl="6" w:tplc="259C39E0" w:tentative="1">
      <w:start w:val="1"/>
      <w:numFmt w:val="decimal"/>
      <w:lvlText w:val="%7."/>
      <w:lvlJc w:val="left"/>
      <w:pPr>
        <w:ind w:left="5040" w:hanging="360"/>
      </w:pPr>
    </w:lvl>
    <w:lvl w:ilvl="7" w:tplc="A9826FD8" w:tentative="1">
      <w:start w:val="1"/>
      <w:numFmt w:val="lowerLetter"/>
      <w:lvlText w:val="%8."/>
      <w:lvlJc w:val="left"/>
      <w:pPr>
        <w:ind w:left="5760" w:hanging="360"/>
      </w:pPr>
    </w:lvl>
    <w:lvl w:ilvl="8" w:tplc="0B064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E4EF7"/>
    <w:multiLevelType w:val="hybridMultilevel"/>
    <w:tmpl w:val="629A0556"/>
    <w:lvl w:ilvl="0" w:tplc="A2901F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B1EA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8A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64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0D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727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23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4F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020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4357B"/>
    <w:multiLevelType w:val="hybridMultilevel"/>
    <w:tmpl w:val="C67AE396"/>
    <w:lvl w:ilvl="0" w:tplc="C26E668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0A1138"/>
    <w:multiLevelType w:val="hybridMultilevel"/>
    <w:tmpl w:val="E7E25BA6"/>
    <w:lvl w:ilvl="0" w:tplc="737E2F6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1" w:tplc="3ECA2A1A" w:tentative="1">
      <w:start w:val="1"/>
      <w:numFmt w:val="lowerLetter"/>
      <w:lvlText w:val="%2."/>
      <w:lvlJc w:val="left"/>
      <w:pPr>
        <w:ind w:left="1080" w:hanging="360"/>
      </w:pPr>
    </w:lvl>
    <w:lvl w:ilvl="2" w:tplc="9A8A42DE" w:tentative="1">
      <w:start w:val="1"/>
      <w:numFmt w:val="lowerRoman"/>
      <w:lvlText w:val="%3."/>
      <w:lvlJc w:val="right"/>
      <w:pPr>
        <w:ind w:left="1800" w:hanging="180"/>
      </w:pPr>
    </w:lvl>
    <w:lvl w:ilvl="3" w:tplc="C71C0D0C" w:tentative="1">
      <w:start w:val="1"/>
      <w:numFmt w:val="decimal"/>
      <w:lvlText w:val="%4."/>
      <w:lvlJc w:val="left"/>
      <w:pPr>
        <w:ind w:left="2520" w:hanging="360"/>
      </w:pPr>
    </w:lvl>
    <w:lvl w:ilvl="4" w:tplc="ED600E40" w:tentative="1">
      <w:start w:val="1"/>
      <w:numFmt w:val="lowerLetter"/>
      <w:lvlText w:val="%5."/>
      <w:lvlJc w:val="left"/>
      <w:pPr>
        <w:ind w:left="3240" w:hanging="360"/>
      </w:pPr>
    </w:lvl>
    <w:lvl w:ilvl="5" w:tplc="02467240" w:tentative="1">
      <w:start w:val="1"/>
      <w:numFmt w:val="lowerRoman"/>
      <w:lvlText w:val="%6."/>
      <w:lvlJc w:val="right"/>
      <w:pPr>
        <w:ind w:left="3960" w:hanging="180"/>
      </w:pPr>
    </w:lvl>
    <w:lvl w:ilvl="6" w:tplc="856281FA" w:tentative="1">
      <w:start w:val="1"/>
      <w:numFmt w:val="decimal"/>
      <w:lvlText w:val="%7."/>
      <w:lvlJc w:val="left"/>
      <w:pPr>
        <w:ind w:left="4680" w:hanging="360"/>
      </w:pPr>
    </w:lvl>
    <w:lvl w:ilvl="7" w:tplc="FAECCDDA" w:tentative="1">
      <w:start w:val="1"/>
      <w:numFmt w:val="lowerLetter"/>
      <w:lvlText w:val="%8."/>
      <w:lvlJc w:val="left"/>
      <w:pPr>
        <w:ind w:left="5400" w:hanging="360"/>
      </w:pPr>
    </w:lvl>
    <w:lvl w:ilvl="8" w:tplc="C1FC80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48401B"/>
    <w:multiLevelType w:val="hybridMultilevel"/>
    <w:tmpl w:val="BB5A23EA"/>
    <w:lvl w:ilvl="0" w:tplc="C26E668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7D769D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D8D2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3AD2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F4E6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E2B8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7639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4E9A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F41E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FE"/>
    <w:rsid w:val="000006FC"/>
    <w:rsid w:val="00000ACC"/>
    <w:rsid w:val="00016CF6"/>
    <w:rsid w:val="000275B3"/>
    <w:rsid w:val="00027D27"/>
    <w:rsid w:val="00042A5C"/>
    <w:rsid w:val="0004414D"/>
    <w:rsid w:val="00045570"/>
    <w:rsid w:val="0005144B"/>
    <w:rsid w:val="000613EF"/>
    <w:rsid w:val="0006744E"/>
    <w:rsid w:val="00075029"/>
    <w:rsid w:val="000775BD"/>
    <w:rsid w:val="000903C1"/>
    <w:rsid w:val="00094F3B"/>
    <w:rsid w:val="000979B1"/>
    <w:rsid w:val="000A17D1"/>
    <w:rsid w:val="000A1EFC"/>
    <w:rsid w:val="000A3FA4"/>
    <w:rsid w:val="000B1663"/>
    <w:rsid w:val="000B1F5B"/>
    <w:rsid w:val="000B3BEC"/>
    <w:rsid w:val="000B7136"/>
    <w:rsid w:val="000C2A7A"/>
    <w:rsid w:val="000D0FE7"/>
    <w:rsid w:val="000E2639"/>
    <w:rsid w:val="000E65F7"/>
    <w:rsid w:val="00101537"/>
    <w:rsid w:val="0010355F"/>
    <w:rsid w:val="00107751"/>
    <w:rsid w:val="001163BC"/>
    <w:rsid w:val="001304BC"/>
    <w:rsid w:val="00131499"/>
    <w:rsid w:val="00133FCC"/>
    <w:rsid w:val="00140BD3"/>
    <w:rsid w:val="00140E2E"/>
    <w:rsid w:val="00143EEE"/>
    <w:rsid w:val="00145CEA"/>
    <w:rsid w:val="00146472"/>
    <w:rsid w:val="00153FAF"/>
    <w:rsid w:val="00162A70"/>
    <w:rsid w:val="00171198"/>
    <w:rsid w:val="001840E6"/>
    <w:rsid w:val="00184ACC"/>
    <w:rsid w:val="0018786D"/>
    <w:rsid w:val="001908F0"/>
    <w:rsid w:val="00191C8C"/>
    <w:rsid w:val="00195F3F"/>
    <w:rsid w:val="00197ADF"/>
    <w:rsid w:val="001B28AD"/>
    <w:rsid w:val="001B2CE1"/>
    <w:rsid w:val="001B325F"/>
    <w:rsid w:val="001C003D"/>
    <w:rsid w:val="001C5474"/>
    <w:rsid w:val="001D2808"/>
    <w:rsid w:val="001D2C1B"/>
    <w:rsid w:val="001D76ED"/>
    <w:rsid w:val="001E0EF8"/>
    <w:rsid w:val="001F5555"/>
    <w:rsid w:val="00202445"/>
    <w:rsid w:val="00226C30"/>
    <w:rsid w:val="002400CE"/>
    <w:rsid w:val="00247AAE"/>
    <w:rsid w:val="00250155"/>
    <w:rsid w:val="0025788A"/>
    <w:rsid w:val="00263A7B"/>
    <w:rsid w:val="002663EB"/>
    <w:rsid w:val="002758EF"/>
    <w:rsid w:val="00275B02"/>
    <w:rsid w:val="00277A31"/>
    <w:rsid w:val="002810F0"/>
    <w:rsid w:val="00283182"/>
    <w:rsid w:val="00283E22"/>
    <w:rsid w:val="0028462B"/>
    <w:rsid w:val="00284B14"/>
    <w:rsid w:val="0028507B"/>
    <w:rsid w:val="002914A7"/>
    <w:rsid w:val="002A0FCB"/>
    <w:rsid w:val="002A44EA"/>
    <w:rsid w:val="002B4E79"/>
    <w:rsid w:val="002C1C05"/>
    <w:rsid w:val="002C2691"/>
    <w:rsid w:val="002C52F0"/>
    <w:rsid w:val="002D27FF"/>
    <w:rsid w:val="002D55EE"/>
    <w:rsid w:val="002D6131"/>
    <w:rsid w:val="002E1538"/>
    <w:rsid w:val="002F0B95"/>
    <w:rsid w:val="002F402E"/>
    <w:rsid w:val="0030238C"/>
    <w:rsid w:val="00305BF2"/>
    <w:rsid w:val="003101E6"/>
    <w:rsid w:val="003371B3"/>
    <w:rsid w:val="00337414"/>
    <w:rsid w:val="00342592"/>
    <w:rsid w:val="0034335C"/>
    <w:rsid w:val="0034623F"/>
    <w:rsid w:val="00351750"/>
    <w:rsid w:val="0035737E"/>
    <w:rsid w:val="00366F26"/>
    <w:rsid w:val="00373DF5"/>
    <w:rsid w:val="00381D2B"/>
    <w:rsid w:val="0039263F"/>
    <w:rsid w:val="0039786A"/>
    <w:rsid w:val="003A3CDF"/>
    <w:rsid w:val="003A5F56"/>
    <w:rsid w:val="003B1331"/>
    <w:rsid w:val="003B16B3"/>
    <w:rsid w:val="003B2588"/>
    <w:rsid w:val="003B2613"/>
    <w:rsid w:val="003B4006"/>
    <w:rsid w:val="003C5397"/>
    <w:rsid w:val="003D5692"/>
    <w:rsid w:val="003E1288"/>
    <w:rsid w:val="003E2992"/>
    <w:rsid w:val="003E2AE2"/>
    <w:rsid w:val="003E3C76"/>
    <w:rsid w:val="003F2D94"/>
    <w:rsid w:val="003F6E5A"/>
    <w:rsid w:val="00401525"/>
    <w:rsid w:val="00403D2C"/>
    <w:rsid w:val="0040429D"/>
    <w:rsid w:val="0040492E"/>
    <w:rsid w:val="00407FAC"/>
    <w:rsid w:val="0041781C"/>
    <w:rsid w:val="00417C8D"/>
    <w:rsid w:val="0043526A"/>
    <w:rsid w:val="004415CB"/>
    <w:rsid w:val="0044644A"/>
    <w:rsid w:val="004522D9"/>
    <w:rsid w:val="00457D3A"/>
    <w:rsid w:val="0046004E"/>
    <w:rsid w:val="00461579"/>
    <w:rsid w:val="00462EA7"/>
    <w:rsid w:val="004636B0"/>
    <w:rsid w:val="00463881"/>
    <w:rsid w:val="0046572C"/>
    <w:rsid w:val="00474255"/>
    <w:rsid w:val="0048699A"/>
    <w:rsid w:val="004959EE"/>
    <w:rsid w:val="004A004B"/>
    <w:rsid w:val="004A5FD0"/>
    <w:rsid w:val="004B01B8"/>
    <w:rsid w:val="004B0DD9"/>
    <w:rsid w:val="004B6A4B"/>
    <w:rsid w:val="004C5EA5"/>
    <w:rsid w:val="004D048D"/>
    <w:rsid w:val="004E085C"/>
    <w:rsid w:val="004E0D85"/>
    <w:rsid w:val="004E5903"/>
    <w:rsid w:val="004F11E2"/>
    <w:rsid w:val="004F4E08"/>
    <w:rsid w:val="00501C9B"/>
    <w:rsid w:val="00542EA6"/>
    <w:rsid w:val="00543ED3"/>
    <w:rsid w:val="00561139"/>
    <w:rsid w:val="0057208B"/>
    <w:rsid w:val="00575D2B"/>
    <w:rsid w:val="005A3669"/>
    <w:rsid w:val="005A52C9"/>
    <w:rsid w:val="005A6C84"/>
    <w:rsid w:val="005C0107"/>
    <w:rsid w:val="005D7C02"/>
    <w:rsid w:val="005E114B"/>
    <w:rsid w:val="005F73ED"/>
    <w:rsid w:val="00601A10"/>
    <w:rsid w:val="00606E10"/>
    <w:rsid w:val="00607148"/>
    <w:rsid w:val="00620604"/>
    <w:rsid w:val="006332B5"/>
    <w:rsid w:val="00637AFE"/>
    <w:rsid w:val="006401DB"/>
    <w:rsid w:val="00646D30"/>
    <w:rsid w:val="0065008A"/>
    <w:rsid w:val="00652DCD"/>
    <w:rsid w:val="00656478"/>
    <w:rsid w:val="00666C90"/>
    <w:rsid w:val="0067029A"/>
    <w:rsid w:val="006721F0"/>
    <w:rsid w:val="0067310B"/>
    <w:rsid w:val="00691A1C"/>
    <w:rsid w:val="00693792"/>
    <w:rsid w:val="00697F36"/>
    <w:rsid w:val="006A4926"/>
    <w:rsid w:val="006A4DEF"/>
    <w:rsid w:val="006B11CF"/>
    <w:rsid w:val="006B3884"/>
    <w:rsid w:val="006C2553"/>
    <w:rsid w:val="006D564E"/>
    <w:rsid w:val="006F0DAB"/>
    <w:rsid w:val="006F416E"/>
    <w:rsid w:val="00700FAA"/>
    <w:rsid w:val="0071573F"/>
    <w:rsid w:val="00717911"/>
    <w:rsid w:val="00717F87"/>
    <w:rsid w:val="00720120"/>
    <w:rsid w:val="00727E48"/>
    <w:rsid w:val="00732DF7"/>
    <w:rsid w:val="0073679B"/>
    <w:rsid w:val="00743CB3"/>
    <w:rsid w:val="00747A4B"/>
    <w:rsid w:val="00750B5D"/>
    <w:rsid w:val="0075337C"/>
    <w:rsid w:val="00756299"/>
    <w:rsid w:val="007624A4"/>
    <w:rsid w:val="00762E13"/>
    <w:rsid w:val="007662C3"/>
    <w:rsid w:val="007847A4"/>
    <w:rsid w:val="007907F8"/>
    <w:rsid w:val="007921C6"/>
    <w:rsid w:val="007A28C2"/>
    <w:rsid w:val="007A2C54"/>
    <w:rsid w:val="007B3F45"/>
    <w:rsid w:val="007C1F3E"/>
    <w:rsid w:val="007C4BC7"/>
    <w:rsid w:val="007C5033"/>
    <w:rsid w:val="007C730D"/>
    <w:rsid w:val="007D4C25"/>
    <w:rsid w:val="007E5514"/>
    <w:rsid w:val="007E67C8"/>
    <w:rsid w:val="007F2132"/>
    <w:rsid w:val="00806FC9"/>
    <w:rsid w:val="00807980"/>
    <w:rsid w:val="008163AB"/>
    <w:rsid w:val="0082427C"/>
    <w:rsid w:val="00836678"/>
    <w:rsid w:val="00841438"/>
    <w:rsid w:val="0085452C"/>
    <w:rsid w:val="008748A6"/>
    <w:rsid w:val="008810E1"/>
    <w:rsid w:val="00883777"/>
    <w:rsid w:val="00887531"/>
    <w:rsid w:val="00895DAD"/>
    <w:rsid w:val="008A534C"/>
    <w:rsid w:val="008A6C51"/>
    <w:rsid w:val="008B39D7"/>
    <w:rsid w:val="008C2ECF"/>
    <w:rsid w:val="008E1036"/>
    <w:rsid w:val="008E78F7"/>
    <w:rsid w:val="008F2B15"/>
    <w:rsid w:val="008F5732"/>
    <w:rsid w:val="008F61CE"/>
    <w:rsid w:val="009031AD"/>
    <w:rsid w:val="00904D40"/>
    <w:rsid w:val="009064E0"/>
    <w:rsid w:val="00910666"/>
    <w:rsid w:val="009108ED"/>
    <w:rsid w:val="00912EDC"/>
    <w:rsid w:val="00914ECC"/>
    <w:rsid w:val="0091608D"/>
    <w:rsid w:val="00916957"/>
    <w:rsid w:val="00922C40"/>
    <w:rsid w:val="00923916"/>
    <w:rsid w:val="00930AA1"/>
    <w:rsid w:val="00937354"/>
    <w:rsid w:val="00943570"/>
    <w:rsid w:val="00956140"/>
    <w:rsid w:val="0099215D"/>
    <w:rsid w:val="00992FC3"/>
    <w:rsid w:val="009A47DE"/>
    <w:rsid w:val="009B1E21"/>
    <w:rsid w:val="009B335F"/>
    <w:rsid w:val="009D0DE3"/>
    <w:rsid w:val="009D4B93"/>
    <w:rsid w:val="009D5948"/>
    <w:rsid w:val="009D61AC"/>
    <w:rsid w:val="009E285B"/>
    <w:rsid w:val="009E3036"/>
    <w:rsid w:val="009E5096"/>
    <w:rsid w:val="009E7FB8"/>
    <w:rsid w:val="009F50B0"/>
    <w:rsid w:val="00A04AF1"/>
    <w:rsid w:val="00A13D08"/>
    <w:rsid w:val="00A31231"/>
    <w:rsid w:val="00A3197B"/>
    <w:rsid w:val="00A45B54"/>
    <w:rsid w:val="00A5219C"/>
    <w:rsid w:val="00A52E3F"/>
    <w:rsid w:val="00A72D18"/>
    <w:rsid w:val="00A751FB"/>
    <w:rsid w:val="00A76181"/>
    <w:rsid w:val="00A86081"/>
    <w:rsid w:val="00A93192"/>
    <w:rsid w:val="00A95D5B"/>
    <w:rsid w:val="00A95EDE"/>
    <w:rsid w:val="00A975C8"/>
    <w:rsid w:val="00AA7255"/>
    <w:rsid w:val="00AB4398"/>
    <w:rsid w:val="00AC12BD"/>
    <w:rsid w:val="00AC2C5E"/>
    <w:rsid w:val="00AC4B1A"/>
    <w:rsid w:val="00AD7BFB"/>
    <w:rsid w:val="00AF75CB"/>
    <w:rsid w:val="00B0284D"/>
    <w:rsid w:val="00B13E30"/>
    <w:rsid w:val="00B141DF"/>
    <w:rsid w:val="00B14EFE"/>
    <w:rsid w:val="00B1724B"/>
    <w:rsid w:val="00B37BE5"/>
    <w:rsid w:val="00B40C6C"/>
    <w:rsid w:val="00B417FA"/>
    <w:rsid w:val="00B44860"/>
    <w:rsid w:val="00B50B45"/>
    <w:rsid w:val="00B630E9"/>
    <w:rsid w:val="00B650EA"/>
    <w:rsid w:val="00B80033"/>
    <w:rsid w:val="00B80E31"/>
    <w:rsid w:val="00B82CD2"/>
    <w:rsid w:val="00B86C36"/>
    <w:rsid w:val="00B87E3F"/>
    <w:rsid w:val="00B90FEB"/>
    <w:rsid w:val="00B93B0F"/>
    <w:rsid w:val="00B95F8B"/>
    <w:rsid w:val="00B96F60"/>
    <w:rsid w:val="00BA0B77"/>
    <w:rsid w:val="00BA4935"/>
    <w:rsid w:val="00BA7662"/>
    <w:rsid w:val="00BB10E7"/>
    <w:rsid w:val="00BB2FF4"/>
    <w:rsid w:val="00BB4195"/>
    <w:rsid w:val="00BB41D2"/>
    <w:rsid w:val="00BB49EB"/>
    <w:rsid w:val="00BB5D25"/>
    <w:rsid w:val="00BD34E0"/>
    <w:rsid w:val="00BD45F8"/>
    <w:rsid w:val="00BF10D7"/>
    <w:rsid w:val="00BF1722"/>
    <w:rsid w:val="00BF1AAE"/>
    <w:rsid w:val="00C05BB0"/>
    <w:rsid w:val="00C07238"/>
    <w:rsid w:val="00C34DE2"/>
    <w:rsid w:val="00C4210E"/>
    <w:rsid w:val="00C527BE"/>
    <w:rsid w:val="00C54E2E"/>
    <w:rsid w:val="00C561BE"/>
    <w:rsid w:val="00C57140"/>
    <w:rsid w:val="00C6557E"/>
    <w:rsid w:val="00C6730C"/>
    <w:rsid w:val="00C73D65"/>
    <w:rsid w:val="00C86401"/>
    <w:rsid w:val="00C86B1F"/>
    <w:rsid w:val="00CC11A1"/>
    <w:rsid w:val="00CC231B"/>
    <w:rsid w:val="00CD6279"/>
    <w:rsid w:val="00CD6723"/>
    <w:rsid w:val="00CE0F97"/>
    <w:rsid w:val="00CE2154"/>
    <w:rsid w:val="00CF62C8"/>
    <w:rsid w:val="00D007B5"/>
    <w:rsid w:val="00D0543C"/>
    <w:rsid w:val="00D06AFE"/>
    <w:rsid w:val="00D13AF9"/>
    <w:rsid w:val="00D13C2A"/>
    <w:rsid w:val="00D24FAA"/>
    <w:rsid w:val="00D331D0"/>
    <w:rsid w:val="00D411E3"/>
    <w:rsid w:val="00D41D0B"/>
    <w:rsid w:val="00D41DC5"/>
    <w:rsid w:val="00D530F4"/>
    <w:rsid w:val="00D53A1B"/>
    <w:rsid w:val="00D61787"/>
    <w:rsid w:val="00D76B5B"/>
    <w:rsid w:val="00D82DF8"/>
    <w:rsid w:val="00D9077D"/>
    <w:rsid w:val="00DA766A"/>
    <w:rsid w:val="00DC3FB8"/>
    <w:rsid w:val="00DE04FB"/>
    <w:rsid w:val="00DE1AF4"/>
    <w:rsid w:val="00DF0665"/>
    <w:rsid w:val="00DF082B"/>
    <w:rsid w:val="00DF3162"/>
    <w:rsid w:val="00DF3653"/>
    <w:rsid w:val="00DF37FD"/>
    <w:rsid w:val="00E07474"/>
    <w:rsid w:val="00E1398E"/>
    <w:rsid w:val="00E13A04"/>
    <w:rsid w:val="00E15325"/>
    <w:rsid w:val="00E33989"/>
    <w:rsid w:val="00E57140"/>
    <w:rsid w:val="00E57147"/>
    <w:rsid w:val="00E62595"/>
    <w:rsid w:val="00E63529"/>
    <w:rsid w:val="00E6454B"/>
    <w:rsid w:val="00E65444"/>
    <w:rsid w:val="00E65877"/>
    <w:rsid w:val="00E662B0"/>
    <w:rsid w:val="00E741DB"/>
    <w:rsid w:val="00E94EFC"/>
    <w:rsid w:val="00EA15AE"/>
    <w:rsid w:val="00EB4D95"/>
    <w:rsid w:val="00EB6746"/>
    <w:rsid w:val="00EC42BC"/>
    <w:rsid w:val="00EC72B4"/>
    <w:rsid w:val="00ED4334"/>
    <w:rsid w:val="00EE53C2"/>
    <w:rsid w:val="00EF3F06"/>
    <w:rsid w:val="00EF5DD5"/>
    <w:rsid w:val="00F01C6E"/>
    <w:rsid w:val="00F0687F"/>
    <w:rsid w:val="00F10449"/>
    <w:rsid w:val="00F123F2"/>
    <w:rsid w:val="00F240AB"/>
    <w:rsid w:val="00F25DE3"/>
    <w:rsid w:val="00F42E55"/>
    <w:rsid w:val="00F4635F"/>
    <w:rsid w:val="00F5057E"/>
    <w:rsid w:val="00F538D0"/>
    <w:rsid w:val="00F64A20"/>
    <w:rsid w:val="00F724FE"/>
    <w:rsid w:val="00F9213F"/>
    <w:rsid w:val="00FA1E92"/>
    <w:rsid w:val="00FA2835"/>
    <w:rsid w:val="00FC4699"/>
    <w:rsid w:val="00FF0900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26DF"/>
  <w15:docId w15:val="{77C07A84-F748-4BAE-9376-1C7C36E7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A4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1C5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45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C54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link w:val="Nadpis3"/>
    <w:uiPriority w:val="9"/>
    <w:semiHidden/>
    <w:rsid w:val="00BD45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F724FE"/>
  </w:style>
  <w:style w:type="character" w:customStyle="1" w:styleId="uficommentbody">
    <w:name w:val="uficommentbody"/>
    <w:basedOn w:val="Standardnpsmoodstavce"/>
    <w:rsid w:val="007662C3"/>
  </w:style>
  <w:style w:type="character" w:styleId="Zdraznn">
    <w:name w:val="Emphasis"/>
    <w:uiPriority w:val="20"/>
    <w:qFormat/>
    <w:rsid w:val="001C547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C5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go">
    <w:name w:val="go"/>
    <w:basedOn w:val="Normln"/>
    <w:rsid w:val="002A4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2A44E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A7255"/>
    <w:rPr>
      <w:rFonts w:ascii="Segoe UI" w:hAnsi="Segoe UI" w:cs="Segoe UI"/>
      <w:sz w:val="18"/>
      <w:szCs w:val="18"/>
    </w:rPr>
  </w:style>
  <w:style w:type="paragraph" w:customStyle="1" w:styleId="l3">
    <w:name w:val="l3"/>
    <w:basedOn w:val="Normln"/>
    <w:rsid w:val="00E13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3l3x">
    <w:name w:val="_3l3x"/>
    <w:basedOn w:val="Standardnpsmoodstavce"/>
    <w:rsid w:val="00E13A04"/>
  </w:style>
  <w:style w:type="character" w:customStyle="1" w:styleId="3oh-">
    <w:name w:val="_3oh-"/>
    <w:basedOn w:val="Standardnpsmoodstavce"/>
    <w:rsid w:val="00E13A04"/>
  </w:style>
  <w:style w:type="character" w:styleId="Hypertextovodkaz">
    <w:name w:val="Hyperlink"/>
    <w:uiPriority w:val="99"/>
    <w:unhideWhenUsed/>
    <w:rsid w:val="00BD45F8"/>
    <w:rPr>
      <w:color w:val="0000FF"/>
      <w:u w:val="single"/>
    </w:rPr>
  </w:style>
  <w:style w:type="character" w:customStyle="1" w:styleId="stenovystupujici">
    <w:name w:val="stenovystupujici"/>
    <w:rsid w:val="00BD45F8"/>
  </w:style>
  <w:style w:type="paragraph" w:styleId="Textpoznpodarou">
    <w:name w:val="footnote text"/>
    <w:basedOn w:val="Normln"/>
    <w:link w:val="TextpoznpodarouChar"/>
    <w:uiPriority w:val="99"/>
    <w:unhideWhenUsed/>
    <w:rsid w:val="006F0DA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6F0DAB"/>
    <w:rPr>
      <w:lang w:eastAsia="en-US"/>
    </w:rPr>
  </w:style>
  <w:style w:type="character" w:styleId="Znakapoznpodarou">
    <w:name w:val="footnote reference"/>
    <w:uiPriority w:val="99"/>
    <w:unhideWhenUsed/>
    <w:rsid w:val="006F0DAB"/>
    <w:rPr>
      <w:vertAlign w:val="superscript"/>
    </w:rPr>
  </w:style>
  <w:style w:type="character" w:customStyle="1" w:styleId="Nevyeenzmnka1">
    <w:name w:val="Nevyřešená zmínka1"/>
    <w:uiPriority w:val="99"/>
    <w:semiHidden/>
    <w:unhideWhenUsed/>
    <w:rsid w:val="006F0DAB"/>
    <w:rPr>
      <w:color w:val="605E5C"/>
      <w:shd w:val="clear" w:color="auto" w:fill="E1DFDD"/>
    </w:rPr>
  </w:style>
  <w:style w:type="character" w:customStyle="1" w:styleId="hascaption">
    <w:name w:val="hascaption"/>
    <w:rsid w:val="002A0FCB"/>
  </w:style>
  <w:style w:type="character" w:customStyle="1" w:styleId="textexposedshow">
    <w:name w:val="text_exposed_show"/>
    <w:rsid w:val="002A0FCB"/>
  </w:style>
  <w:style w:type="character" w:customStyle="1" w:styleId="st">
    <w:name w:val="st"/>
    <w:rsid w:val="00131499"/>
  </w:style>
  <w:style w:type="character" w:customStyle="1" w:styleId="xsptextcomputedfield">
    <w:name w:val="xsptextcomputedfield"/>
    <w:rsid w:val="00B86C36"/>
  </w:style>
  <w:style w:type="character" w:styleId="Odkaznakoment">
    <w:name w:val="annotation reference"/>
    <w:uiPriority w:val="99"/>
    <w:semiHidden/>
    <w:unhideWhenUsed/>
    <w:rsid w:val="00FA28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83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A28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8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A2835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441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4414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441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4414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56299"/>
    <w:rPr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D4C25"/>
    <w:rPr>
      <w:color w:val="605E5C"/>
      <w:shd w:val="clear" w:color="auto" w:fill="E1DFDD"/>
    </w:rPr>
  </w:style>
  <w:style w:type="paragraph" w:customStyle="1" w:styleId="Text0text">
    <w:name w:val="Text (0 text)"/>
    <w:basedOn w:val="Normln"/>
    <w:next w:val="BasicParagraph"/>
    <w:uiPriority w:val="99"/>
    <w:rsid w:val="00A31231"/>
    <w:pPr>
      <w:autoSpaceDE w:val="0"/>
      <w:autoSpaceDN w:val="0"/>
      <w:adjustRightInd w:val="0"/>
      <w:spacing w:after="57" w:line="240" w:lineRule="atLeast"/>
      <w:ind w:firstLine="170"/>
      <w:jc w:val="both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BasicParagraph">
    <w:name w:val="[Basic Paragraph]"/>
    <w:basedOn w:val="Normln"/>
    <w:uiPriority w:val="99"/>
    <w:rsid w:val="00A3123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Pro-Regular" w:hAnsi="MyriadPro-Regular" w:cs="MyriadPro-Regular"/>
      <w:color w:val="000000"/>
      <w:sz w:val="24"/>
      <w:szCs w:val="24"/>
    </w:rPr>
  </w:style>
  <w:style w:type="paragraph" w:customStyle="1" w:styleId="poznmkapodarou">
    <w:name w:val="poznámka pod čarou"/>
    <w:basedOn w:val="Normln"/>
    <w:uiPriority w:val="99"/>
    <w:rsid w:val="00A31231"/>
    <w:pPr>
      <w:tabs>
        <w:tab w:val="left" w:pos="340"/>
      </w:tabs>
      <w:autoSpaceDE w:val="0"/>
      <w:autoSpaceDN w:val="0"/>
      <w:adjustRightInd w:val="0"/>
      <w:spacing w:after="0" w:line="180" w:lineRule="atLeast"/>
      <w:ind w:left="340" w:hanging="340"/>
      <w:jc w:val="both"/>
      <w:textAlignment w:val="center"/>
    </w:pPr>
    <w:rPr>
      <w:rFonts w:ascii="MyriadPro-Regular" w:hAnsi="MyriadPro-Regular" w:cs="MyriadPro-Regular"/>
      <w:color w:val="000000"/>
      <w:sz w:val="16"/>
      <w:szCs w:val="16"/>
    </w:rPr>
  </w:style>
  <w:style w:type="character" w:customStyle="1" w:styleId="Italic">
    <w:name w:val="Italic"/>
    <w:uiPriority w:val="99"/>
    <w:rsid w:val="00A31231"/>
    <w:rPr>
      <w:i/>
      <w:iCs/>
    </w:rPr>
  </w:style>
  <w:style w:type="character" w:customStyle="1" w:styleId="Bold">
    <w:name w:val="Bold"/>
    <w:uiPriority w:val="99"/>
    <w:rsid w:val="00A31231"/>
    <w:rPr>
      <w:b/>
      <w:bCs/>
      <w:i/>
      <w:iCs/>
    </w:rPr>
  </w:style>
  <w:style w:type="character" w:customStyle="1" w:styleId="hornindex">
    <w:name w:val="horní index"/>
    <w:uiPriority w:val="99"/>
    <w:rsid w:val="00A31231"/>
    <w:rPr>
      <w:rFonts w:ascii="MyriadPro-Regular" w:hAnsi="MyriadPro-Regular" w:cs="MyriadPro-Regular"/>
      <w:spacing w:val="0"/>
      <w:sz w:val="20"/>
      <w:szCs w:val="20"/>
      <w:u w:val="none"/>
      <w:vertAlign w:val="superscript"/>
    </w:rPr>
  </w:style>
  <w:style w:type="paragraph" w:styleId="Odstavecseseznamem">
    <w:name w:val="List Paragraph"/>
    <w:basedOn w:val="Normln"/>
    <w:uiPriority w:val="34"/>
    <w:qFormat/>
    <w:rsid w:val="00743CB3"/>
    <w:pPr>
      <w:ind w:left="720"/>
      <w:contextualSpacing/>
    </w:pPr>
  </w:style>
  <w:style w:type="character" w:customStyle="1" w:styleId="normaltextrun">
    <w:name w:val="normaltextrun"/>
    <w:basedOn w:val="Standardnpsmoodstavce"/>
    <w:rsid w:val="00EB4D95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48699A"/>
    <w:rPr>
      <w:color w:val="605E5C"/>
      <w:shd w:val="clear" w:color="auto" w:fill="E1DFDD"/>
    </w:rPr>
  </w:style>
  <w:style w:type="paragraph" w:customStyle="1" w:styleId="l4">
    <w:name w:val="l4"/>
    <w:basedOn w:val="Normln"/>
    <w:rsid w:val="00C54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758E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758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umneprav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jemnik@rozumneprav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rozumne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zumn%C3%A9-pr%C3%A1v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zumnepravo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359B-9B53-42F5-BA2C-8ECB8BE2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1831</Words>
  <Characters>10806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Kocmanek Jakub</cp:lastModifiedBy>
  <cp:revision>3</cp:revision>
  <dcterms:created xsi:type="dcterms:W3CDTF">2021-02-09T18:06:00Z</dcterms:created>
  <dcterms:modified xsi:type="dcterms:W3CDTF">2021-02-09T18:12:00Z</dcterms:modified>
</cp:coreProperties>
</file>